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C5E7" w14:textId="4478525F" w:rsidR="008B1B8C" w:rsidRPr="00222833" w:rsidRDefault="001D2EC6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Los sistemas de resolución</w:t>
      </w:r>
      <w:r w:rsidR="008B1B8C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alternativa </w:t>
      </w:r>
      <w:r w:rsidR="00FE3684" w:rsidRPr="00222833">
        <w:rPr>
          <w:rFonts w:ascii="Times New Roman" w:hAnsi="Times New Roman" w:cs="Times New Roman"/>
          <w:b/>
          <w:sz w:val="24"/>
          <w:szCs w:val="24"/>
          <w:lang w:val="es-ES"/>
        </w:rPr>
        <w:t>de litigios</w:t>
      </w:r>
      <w:r w:rsidR="008B1B8C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consumo y</w:t>
      </w: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0AC471DA" w14:textId="78DFB2B2" w:rsidR="000B5A73" w:rsidRPr="00222833" w:rsidRDefault="00852154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de ‘ombudsman’</w:t>
      </w:r>
      <w:r w:rsidR="00FE0FB5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en Europa</w:t>
      </w:r>
      <w:bookmarkStart w:id="0" w:name="_GoBack"/>
      <w:bookmarkEnd w:id="0"/>
    </w:p>
    <w:p w14:paraId="7532DD67" w14:textId="77777777" w:rsidR="000D4338" w:rsidRPr="00222833" w:rsidRDefault="000D4338" w:rsidP="000D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1832E3A8" w14:textId="44D6B4C8" w:rsidR="00E266A5" w:rsidRPr="00222833" w:rsidRDefault="00E266A5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 w:eastAsia="en-GB"/>
        </w:rPr>
      </w:pPr>
      <w:r w:rsidRPr="0022283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Christopher Hodges</w:t>
      </w:r>
      <w:r w:rsidR="00FE0FB5" w:rsidRPr="00222833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es-ES"/>
        </w:rPr>
        <w:footnoteReference w:id="1"/>
      </w:r>
    </w:p>
    <w:p w14:paraId="4D78C847" w14:textId="77777777" w:rsidR="00E266A5" w:rsidRPr="00222833" w:rsidRDefault="00E266A5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FB9468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1089E2" w14:textId="70EDC617" w:rsidR="00AD411E" w:rsidRPr="00222833" w:rsidRDefault="00433CDE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Resumen de </w:t>
      </w:r>
      <w:r w:rsidR="00480F6A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los sistemas de </w:t>
      </w:r>
      <w:r w:rsidR="00A7710F" w:rsidRPr="00222833">
        <w:rPr>
          <w:rFonts w:ascii="Times New Roman" w:hAnsi="Times New Roman" w:cs="Times New Roman"/>
          <w:b/>
          <w:sz w:val="24"/>
          <w:szCs w:val="24"/>
          <w:lang w:val="es-ES"/>
        </w:rPr>
        <w:t>RAL</w:t>
      </w:r>
      <w:r w:rsidR="00480F6A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consumo</w:t>
      </w:r>
      <w:r w:rsidR="004916E7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3EBD4B39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0C4469" w14:textId="3610D22A" w:rsidR="00FE0FB5" w:rsidRPr="00222833" w:rsidRDefault="0085215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En Europa han surgido n</w:t>
      </w:r>
      <w:r w:rsidR="004563D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uevos mecanismos de resolución </w:t>
      </w:r>
      <w:r w:rsidR="00FE3684" w:rsidRPr="00222833">
        <w:rPr>
          <w:rFonts w:ascii="Times New Roman" w:hAnsi="Times New Roman" w:cs="Times New Roman"/>
          <w:sz w:val="24"/>
          <w:szCs w:val="24"/>
          <w:lang w:val="es-ES"/>
        </w:rPr>
        <w:t>de litigios</w:t>
      </w:r>
      <w:r w:rsidR="004563D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entre consumidores y </w:t>
      </w:r>
      <w:r w:rsidR="00712122" w:rsidRPr="00222833">
        <w:rPr>
          <w:rFonts w:ascii="Times New Roman" w:hAnsi="Times New Roman" w:cs="Times New Roman"/>
          <w:sz w:val="24"/>
          <w:szCs w:val="24"/>
          <w:lang w:val="es-ES"/>
        </w:rPr>
        <w:t>comerciantes</w:t>
      </w:r>
      <w:r w:rsidR="008828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suelen ser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063C4" w:rsidRPr="00222833">
        <w:rPr>
          <w:rFonts w:ascii="Times New Roman" w:hAnsi="Times New Roman" w:cs="Times New Roman"/>
          <w:sz w:val="24"/>
          <w:szCs w:val="24"/>
          <w:lang w:val="es-ES"/>
        </w:rPr>
        <w:t>escasa</w:t>
      </w:r>
      <w:r w:rsidR="00D219C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cuantía</w:t>
      </w:r>
      <w:r w:rsidR="00D219C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63C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8828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presentar poca </w:t>
      </w:r>
      <w:r w:rsidR="005063C4" w:rsidRPr="00222833">
        <w:rPr>
          <w:rFonts w:ascii="Times New Roman" w:hAnsi="Times New Roman" w:cs="Times New Roman"/>
          <w:sz w:val="24"/>
          <w:szCs w:val="24"/>
          <w:lang w:val="es-ES"/>
        </w:rPr>
        <w:t>complejidad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63C4" w:rsidRPr="00222833">
        <w:rPr>
          <w:rFonts w:ascii="Times New Roman" w:hAnsi="Times New Roman" w:cs="Times New Roman"/>
          <w:sz w:val="24"/>
          <w:szCs w:val="24"/>
          <w:lang w:val="es-ES"/>
        </w:rPr>
        <w:t>jurídica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063C4" w:rsidRPr="00222833">
        <w:rPr>
          <w:rFonts w:ascii="Times New Roman" w:hAnsi="Times New Roman" w:cs="Times New Roman"/>
          <w:sz w:val="24"/>
          <w:szCs w:val="24"/>
          <w:lang w:val="es-ES"/>
        </w:rPr>
        <w:t>Así, e</w:t>
      </w:r>
      <w:r w:rsidR="00D219CA" w:rsidRPr="00222833">
        <w:rPr>
          <w:rFonts w:ascii="Times New Roman" w:hAnsi="Times New Roman" w:cs="Times New Roman"/>
          <w:sz w:val="24"/>
          <w:szCs w:val="24"/>
          <w:lang w:val="es-ES"/>
        </w:rPr>
        <w:t>n los casos de compraventa de productos</w:t>
      </w:r>
      <w:r w:rsidR="0005439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problemas</w:t>
      </w:r>
      <w:r w:rsidR="0005439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suelen suscitarse </w:t>
      </w:r>
      <w:r w:rsidR="00882849" w:rsidRPr="00222833">
        <w:rPr>
          <w:rFonts w:ascii="Times New Roman" w:hAnsi="Times New Roman" w:cs="Times New Roman"/>
          <w:sz w:val="24"/>
          <w:szCs w:val="24"/>
          <w:lang w:val="es-ES"/>
        </w:rPr>
        <w:t>a raíz de</w:t>
      </w:r>
      <w:r w:rsidR="0005439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falta de entrega,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r w:rsidR="0005439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disconformidad entre el producto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5439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 publicitado</w:t>
      </w:r>
      <w:r w:rsidR="00882849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5439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desperfectos o</w:t>
      </w:r>
      <w:r w:rsidR="008828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porque el producto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resulta inaceptable por otros motivos.</w:t>
      </w:r>
      <w:r w:rsidR="0005439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58A0" w:rsidRPr="00222833">
        <w:rPr>
          <w:rFonts w:ascii="Times New Roman" w:hAnsi="Times New Roman" w:cs="Times New Roman"/>
          <w:sz w:val="24"/>
          <w:szCs w:val="24"/>
          <w:lang w:val="es-ES"/>
        </w:rPr>
        <w:t>En la contratación de servicios (por ejemplo, financieros, de energía o telecomunicaciones)</w:t>
      </w:r>
      <w:r w:rsidR="00FE0FB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el problema puede plantearse </w:t>
      </w:r>
      <w:r w:rsidR="00921FAE" w:rsidRPr="00222833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4E7FF3" w:rsidRPr="00222833">
        <w:rPr>
          <w:rFonts w:ascii="Times New Roman" w:hAnsi="Times New Roman" w:cs="Times New Roman"/>
          <w:sz w:val="24"/>
          <w:szCs w:val="24"/>
          <w:lang w:val="es-ES"/>
        </w:rPr>
        <w:t>facturación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incorrecta,</w:t>
      </w:r>
      <w:r w:rsidR="00FE0FB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venta indebida</w:t>
      </w:r>
      <w:r w:rsidR="00921FA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 prestación defectuosa</w:t>
      </w:r>
      <w:r w:rsidR="0025392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un </w:t>
      </w:r>
      <w:r w:rsidR="00921FAE" w:rsidRPr="00222833">
        <w:rPr>
          <w:rFonts w:ascii="Times New Roman" w:hAnsi="Times New Roman" w:cs="Times New Roman"/>
          <w:sz w:val="24"/>
          <w:szCs w:val="24"/>
          <w:lang w:val="es-ES"/>
        </w:rPr>
        <w:t>servicio.</w:t>
      </w:r>
      <w:r w:rsidR="0025392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Finalmente,</w:t>
      </w:r>
      <w:r w:rsidR="00B458A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en los s</w:t>
      </w:r>
      <w:r w:rsidR="00B458A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ervicios de transporte los problemas pueden plantearse </w:t>
      </w:r>
      <w:r w:rsidR="00A10EA5" w:rsidRPr="00222833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B458A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denegación del embarque o re</w:t>
      </w:r>
      <w:r w:rsidR="003C600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traso. En todos estos </w:t>
      </w:r>
      <w:r w:rsidR="00A10EA5" w:rsidRPr="00222833">
        <w:rPr>
          <w:rFonts w:ascii="Times New Roman" w:hAnsi="Times New Roman" w:cs="Times New Roman"/>
          <w:sz w:val="24"/>
          <w:szCs w:val="24"/>
          <w:lang w:val="es-ES"/>
        </w:rPr>
        <w:t>supuestos</w:t>
      </w:r>
      <w:r w:rsidR="003C600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la reclamación formal </w:t>
      </w:r>
      <w:r w:rsidR="00A10EA5" w:rsidRPr="00222833">
        <w:rPr>
          <w:rFonts w:ascii="Times New Roman" w:hAnsi="Times New Roman" w:cs="Times New Roman"/>
          <w:sz w:val="24"/>
          <w:szCs w:val="24"/>
          <w:lang w:val="es-ES"/>
        </w:rPr>
        <w:t>mediante</w:t>
      </w:r>
      <w:r w:rsidR="003C600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abogado </w:t>
      </w:r>
      <w:r w:rsidR="00A10EA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 través de canales jurisdiccionales </w:t>
      </w:r>
      <w:r w:rsidR="00921FA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A10EA5" w:rsidRPr="00222833">
        <w:rPr>
          <w:rFonts w:ascii="Times New Roman" w:hAnsi="Times New Roman" w:cs="Times New Roman"/>
          <w:sz w:val="24"/>
          <w:szCs w:val="24"/>
          <w:lang w:val="es-ES"/>
        </w:rPr>
        <w:t>suele</w:t>
      </w:r>
      <w:r w:rsidR="009134B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21FAE" w:rsidRPr="00222833">
        <w:rPr>
          <w:rFonts w:ascii="Times New Roman" w:hAnsi="Times New Roman" w:cs="Times New Roman"/>
          <w:sz w:val="24"/>
          <w:szCs w:val="24"/>
          <w:lang w:val="es-ES"/>
        </w:rPr>
        <w:t>salir a cuenta</w:t>
      </w:r>
      <w:r w:rsidR="002A4B8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0EA5" w:rsidRPr="00222833">
        <w:rPr>
          <w:rFonts w:ascii="Times New Roman" w:hAnsi="Times New Roman" w:cs="Times New Roman"/>
          <w:sz w:val="24"/>
          <w:szCs w:val="24"/>
          <w:lang w:val="es-ES"/>
        </w:rPr>
        <w:t>precisamente por el escaso valor de la reclamació</w:t>
      </w:r>
      <w:r w:rsidR="002A4B8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n. </w:t>
      </w:r>
      <w:r w:rsidR="004F7992" w:rsidRPr="0022283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134B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ncluso </w:t>
      </w:r>
      <w:r w:rsidR="004F7992" w:rsidRPr="00222833">
        <w:rPr>
          <w:rFonts w:ascii="Times New Roman" w:hAnsi="Times New Roman" w:cs="Times New Roman"/>
          <w:sz w:val="24"/>
          <w:szCs w:val="24"/>
          <w:lang w:val="es-ES"/>
        </w:rPr>
        <w:t>cabe</w:t>
      </w:r>
      <w:r w:rsidR="002A4B8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los consumidores </w:t>
      </w:r>
      <w:r w:rsidR="004F799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consideren que no vale la pena </w:t>
      </w:r>
      <w:r w:rsidR="002A4B8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invertir tiempo en </w:t>
      </w:r>
      <w:r w:rsidR="004F7992" w:rsidRPr="00222833">
        <w:rPr>
          <w:rFonts w:ascii="Times New Roman" w:hAnsi="Times New Roman" w:cs="Times New Roman"/>
          <w:sz w:val="24"/>
          <w:szCs w:val="24"/>
          <w:lang w:val="es-ES"/>
        </w:rPr>
        <w:t>reclamar</w:t>
      </w:r>
      <w:r w:rsidR="002A4B8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238543E" w14:textId="77777777" w:rsidR="00FE0FB5" w:rsidRPr="00222833" w:rsidRDefault="00FE0FB5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5FD0CC2" w14:textId="7675D052" w:rsidR="00CD0FE6" w:rsidRPr="00222833" w:rsidRDefault="002A4B8D" w:rsidP="00CD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Es por </w:t>
      </w:r>
      <w:r w:rsidR="009134B1" w:rsidRPr="00222833">
        <w:rPr>
          <w:rFonts w:ascii="Times New Roman" w:hAnsi="Times New Roman" w:cs="Times New Roman"/>
          <w:sz w:val="24"/>
          <w:szCs w:val="24"/>
          <w:lang w:val="es-ES"/>
        </w:rPr>
        <w:t>esta razón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en muchos Estados Miembros de la U</w:t>
      </w:r>
      <w:r w:rsidR="00373D6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nión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73D68" w:rsidRPr="00222833">
        <w:rPr>
          <w:rFonts w:ascii="Times New Roman" w:hAnsi="Times New Roman" w:cs="Times New Roman"/>
          <w:sz w:val="24"/>
          <w:szCs w:val="24"/>
          <w:lang w:val="es-ES"/>
        </w:rPr>
        <w:t>uropea (UE)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se han desarrollado</w:t>
      </w:r>
      <w:r w:rsidR="003C600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754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sistemas de resolución alternativa </w:t>
      </w:r>
      <w:r w:rsidR="00A7710F" w:rsidRPr="00222833">
        <w:rPr>
          <w:rFonts w:ascii="Times New Roman" w:hAnsi="Times New Roman" w:cs="Times New Roman"/>
          <w:sz w:val="24"/>
          <w:szCs w:val="24"/>
          <w:lang w:val="es-ES"/>
        </w:rPr>
        <w:t>de litigios</w:t>
      </w:r>
      <w:r w:rsidR="004F799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B1" w:rsidRPr="00222833">
        <w:rPr>
          <w:rFonts w:ascii="Times New Roman" w:hAnsi="Times New Roman" w:cs="Times New Roman"/>
          <w:sz w:val="24"/>
          <w:szCs w:val="24"/>
          <w:lang w:val="es-ES"/>
        </w:rPr>
        <w:t>en materia de</w:t>
      </w:r>
      <w:r w:rsidR="000F754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consumo</w:t>
      </w:r>
      <w:r w:rsidR="004F799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(RLC)</w:t>
      </w:r>
      <w:r w:rsidR="005139D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Un estudio de 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2009 </w:t>
      </w:r>
      <w:r w:rsidR="005139D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detectó 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750 </w:t>
      </w:r>
      <w:r w:rsidR="004563D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sistemas nacionales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63D4" w:rsidRPr="00222833">
        <w:rPr>
          <w:rFonts w:ascii="Times New Roman" w:hAnsi="Times New Roman" w:cs="Times New Roman"/>
          <w:sz w:val="24"/>
          <w:szCs w:val="24"/>
          <w:lang w:val="es-ES"/>
        </w:rPr>
        <w:t>en toda la</w:t>
      </w:r>
      <w:r w:rsidR="004F799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3D68" w:rsidRPr="00222833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916E7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3D68" w:rsidRPr="00222833">
        <w:rPr>
          <w:rFonts w:ascii="Times New Roman" w:hAnsi="Times New Roman" w:cs="Times New Roman"/>
          <w:sz w:val="24"/>
          <w:szCs w:val="24"/>
          <w:lang w:val="es-ES"/>
        </w:rPr>
        <w:t>Desde hace más de 40 años, l</w:t>
      </w:r>
      <w:r w:rsidR="005139DA" w:rsidRPr="00222833">
        <w:rPr>
          <w:rFonts w:ascii="Times New Roman" w:hAnsi="Times New Roman" w:cs="Times New Roman"/>
          <w:sz w:val="24"/>
          <w:szCs w:val="24"/>
          <w:lang w:val="es-ES"/>
        </w:rPr>
        <w:t>os países nórdicos, Holanda, España, Portugal y el Reino Unido</w:t>
      </w:r>
      <w:r w:rsidR="00FE0FB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39D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disponen de completos sistemas de </w:t>
      </w:r>
      <w:r w:rsidR="00C61D2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RLC </w:t>
      </w:r>
      <w:r w:rsidR="005139DA" w:rsidRPr="00222833">
        <w:rPr>
          <w:rFonts w:ascii="Times New Roman" w:hAnsi="Times New Roman" w:cs="Times New Roman"/>
          <w:sz w:val="24"/>
          <w:szCs w:val="24"/>
          <w:lang w:val="es-ES"/>
        </w:rPr>
        <w:t>basados</w:t>
      </w:r>
      <w:r w:rsidR="00373D68" w:rsidRPr="00222833">
        <w:rPr>
          <w:rFonts w:ascii="Times New Roman" w:hAnsi="Times New Roman" w:cs="Times New Roman"/>
          <w:sz w:val="24"/>
          <w:szCs w:val="24"/>
          <w:lang w:val="es-ES"/>
        </w:rPr>
        <w:t>, generalmente,</w:t>
      </w:r>
      <w:r w:rsidR="005139D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 juntas arbitrales.</w:t>
      </w:r>
      <w:r w:rsidR="000D433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7FF3" w:rsidRPr="00222833">
        <w:rPr>
          <w:rFonts w:ascii="Times New Roman" w:hAnsi="Times New Roman" w:cs="Times New Roman"/>
          <w:sz w:val="24"/>
          <w:szCs w:val="24"/>
          <w:lang w:val="es-ES"/>
        </w:rPr>
        <w:t>Normalmente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estas juntas han sido creadas por </w:t>
      </w:r>
      <w:r w:rsidR="00373D6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determinados </w:t>
      </w:r>
      <w:r w:rsidR="007F512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sectores </w:t>
      </w:r>
      <w:r w:rsidR="00373D68" w:rsidRPr="00222833">
        <w:rPr>
          <w:rFonts w:ascii="Times New Roman" w:hAnsi="Times New Roman" w:cs="Times New Roman"/>
          <w:sz w:val="24"/>
          <w:szCs w:val="24"/>
          <w:lang w:val="es-ES"/>
        </w:rPr>
        <w:t>empresariales</w:t>
      </w:r>
      <w:r w:rsidR="002B241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 el fin de dar una adecuada respuesta a aquellos problemas de los consumidores que no </w:t>
      </w:r>
      <w:r w:rsidR="00FD69A1" w:rsidRPr="00222833">
        <w:rPr>
          <w:rFonts w:ascii="Times New Roman" w:hAnsi="Times New Roman" w:cs="Times New Roman"/>
          <w:sz w:val="24"/>
          <w:szCs w:val="24"/>
          <w:lang w:val="es-ES"/>
        </w:rPr>
        <w:t>hallan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9A1" w:rsidRPr="00222833">
        <w:rPr>
          <w:rFonts w:ascii="Times New Roman" w:hAnsi="Times New Roman" w:cs="Times New Roman"/>
          <w:sz w:val="24"/>
          <w:szCs w:val="24"/>
          <w:lang w:val="es-ES"/>
        </w:rPr>
        <w:t>solución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manera bilateral entre el comerciante y el consumidor</w:t>
      </w:r>
      <w:r w:rsidR="00FD69A1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9A1" w:rsidRPr="00222833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sistemas de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9A1" w:rsidRPr="00222833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C37EF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Estados Miembros</w:t>
      </w:r>
      <w:r w:rsidR="00FD69A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la UE presentan grandes diferencias. </w:t>
      </w:r>
      <w:r w:rsidR="00317EDB" w:rsidRPr="00222833">
        <w:rPr>
          <w:rFonts w:ascii="Times New Roman" w:hAnsi="Times New Roman" w:cs="Times New Roman"/>
          <w:sz w:val="24"/>
          <w:szCs w:val="24"/>
          <w:lang w:val="es-ES"/>
        </w:rPr>
        <w:t>Los diversos organismos de RLC pueden aunar</w:t>
      </w:r>
      <w:r w:rsidR="00A317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varias técnicas y</w:t>
      </w:r>
      <w:r w:rsidR="00317ED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servicios:</w:t>
      </w:r>
      <w:r w:rsidR="0074380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7EDB" w:rsidRPr="00222833">
        <w:rPr>
          <w:rFonts w:ascii="Times New Roman" w:hAnsi="Times New Roman" w:cs="Times New Roman"/>
          <w:sz w:val="24"/>
          <w:szCs w:val="24"/>
          <w:lang w:val="es-ES"/>
        </w:rPr>
        <w:t>información al consumidor</w:t>
      </w:r>
      <w:r w:rsidR="00293A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17EDB" w:rsidRPr="00222833">
        <w:rPr>
          <w:rFonts w:ascii="Times New Roman" w:hAnsi="Times New Roman" w:cs="Times New Roman"/>
          <w:sz w:val="24"/>
          <w:szCs w:val="24"/>
          <w:lang w:val="es-ES"/>
        </w:rPr>
        <w:t>filtro</w:t>
      </w:r>
      <w:r w:rsidR="00CD0FE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87F9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mediación y la emisión de una recomendación o decisión. En algunos países </w:t>
      </w:r>
      <w:r w:rsidR="00AB156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son autoridades locales, asociaciones de consumidores y de comerciantes, cámaras de comercio, organismos públicos con potestad normativa o supervisora u órganos privados quienes asumen </w:t>
      </w:r>
      <w:r w:rsidR="00287F94" w:rsidRPr="00222833">
        <w:rPr>
          <w:rFonts w:ascii="Times New Roman" w:hAnsi="Times New Roman" w:cs="Times New Roman"/>
          <w:sz w:val="24"/>
          <w:szCs w:val="24"/>
          <w:lang w:val="es-ES"/>
        </w:rPr>
        <w:t>las funciones de tramitación de quejas de los consumidores</w:t>
      </w:r>
      <w:r w:rsidR="00F7073B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835E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07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Muchos de estos sistemas de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F707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son muy efectivos y </w:t>
      </w:r>
      <w:r w:rsidR="00497D6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resultan más </w:t>
      </w:r>
      <w:r w:rsidR="00F707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atractivos para los consumidores que </w:t>
      </w:r>
      <w:r w:rsidR="00AB1569" w:rsidRPr="00222833">
        <w:rPr>
          <w:rFonts w:ascii="Times New Roman" w:hAnsi="Times New Roman" w:cs="Times New Roman"/>
          <w:sz w:val="24"/>
          <w:szCs w:val="24"/>
          <w:lang w:val="es-ES"/>
        </w:rPr>
        <w:t>los mecanismos jurisdiccionales tradicionales</w:t>
      </w:r>
      <w:r w:rsidR="00F707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A7DF290" w14:textId="77777777" w:rsidR="00A835ED" w:rsidRPr="00222833" w:rsidRDefault="00A835ED" w:rsidP="00CD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E1A0221" w14:textId="3E808AA1" w:rsidR="00A835ED" w:rsidRPr="00222833" w:rsidRDefault="003339C5" w:rsidP="00A8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Uno de los modelos más avanzados es el </w:t>
      </w:r>
      <w:r w:rsidR="00AB1569" w:rsidRPr="00222833">
        <w:rPr>
          <w:rFonts w:ascii="Times New Roman" w:hAnsi="Times New Roman" w:cs="Times New Roman"/>
          <w:sz w:val="24"/>
          <w:szCs w:val="24"/>
          <w:lang w:val="es-ES"/>
        </w:rPr>
        <w:t>que gira en torno a la figura del</w:t>
      </w:r>
      <w:r w:rsidR="004130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defensor</w:t>
      </w:r>
      <w:r w:rsidR="008533D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30B4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8533D3" w:rsidRPr="00222833">
        <w:rPr>
          <w:rFonts w:ascii="Times New Roman" w:hAnsi="Times New Roman" w:cs="Times New Roman"/>
          <w:i/>
          <w:sz w:val="24"/>
          <w:szCs w:val="24"/>
          <w:lang w:val="es-ES"/>
        </w:rPr>
        <w:t>ombudsman</w:t>
      </w:r>
      <w:r w:rsidR="004130B4" w:rsidRPr="0022283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533D3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533D3" w:rsidRPr="00222833">
        <w:rPr>
          <w:rFonts w:ascii="Times New Roman" w:hAnsi="Times New Roman" w:cs="Times New Roman"/>
          <w:sz w:val="24"/>
          <w:szCs w:val="24"/>
          <w:lang w:val="es-ES"/>
        </w:rPr>
        <w:t>independiente</w:t>
      </w:r>
      <w:r w:rsidR="00F06AF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como ocurre en</w:t>
      </w:r>
      <w:r w:rsidR="008533D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Alemania (seguros y transporte) y en el Reino Unido en relación con los servicios financieros, la energía, las comunicaciones, los servicios legales, las pensiones, algunos servicios relacionados con inmuebles, mobiliario y </w:t>
      </w:r>
      <w:r w:rsidR="007314AD" w:rsidRPr="00222833">
        <w:rPr>
          <w:rFonts w:ascii="Times New Roman" w:hAnsi="Times New Roman" w:cs="Times New Roman"/>
          <w:sz w:val="24"/>
          <w:szCs w:val="24"/>
          <w:lang w:val="es-ES"/>
        </w:rPr>
        <w:t>asuntos generales sobre consumo</w:t>
      </w:r>
      <w:r w:rsidR="006B24B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Los sistemas más avanzados basados en la figura del </w:t>
      </w:r>
      <w:r w:rsidR="00A835ED" w:rsidRPr="00222833">
        <w:rPr>
          <w:rFonts w:ascii="Times New Roman" w:hAnsi="Times New Roman" w:cs="Times New Roman"/>
          <w:i/>
          <w:sz w:val="24"/>
          <w:szCs w:val="24"/>
          <w:lang w:val="es-ES"/>
        </w:rPr>
        <w:t>ombudsman</w:t>
      </w:r>
      <w:r w:rsidR="00A835E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06AFB" w:rsidRPr="00222833">
        <w:rPr>
          <w:rFonts w:ascii="Times New Roman" w:hAnsi="Times New Roman" w:cs="Times New Roman"/>
          <w:sz w:val="24"/>
          <w:szCs w:val="24"/>
          <w:lang w:val="es-ES"/>
        </w:rPr>
        <w:t>combinan</w:t>
      </w:r>
      <w:r w:rsidR="006B24B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técnicas de asesoramiento/</w:t>
      </w:r>
      <w:r w:rsidR="00F06AFB" w:rsidRPr="00222833">
        <w:rPr>
          <w:rFonts w:ascii="Times New Roman" w:hAnsi="Times New Roman" w:cs="Times New Roman"/>
          <w:sz w:val="24"/>
          <w:szCs w:val="24"/>
          <w:lang w:val="es-ES"/>
        </w:rPr>
        <w:t>información</w:t>
      </w:r>
      <w:r w:rsidR="00A835E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B56B2" w:rsidRPr="00222833">
        <w:rPr>
          <w:rFonts w:ascii="Times New Roman" w:hAnsi="Times New Roman" w:cs="Times New Roman"/>
          <w:sz w:val="24"/>
          <w:szCs w:val="24"/>
          <w:lang w:val="es-ES"/>
        </w:rPr>
        <w:t>mediación</w:t>
      </w:r>
      <w:r w:rsidR="006B24B1" w:rsidRPr="00222833">
        <w:rPr>
          <w:rFonts w:ascii="Times New Roman" w:hAnsi="Times New Roman" w:cs="Times New Roman"/>
          <w:sz w:val="24"/>
          <w:szCs w:val="24"/>
          <w:lang w:val="es-ES"/>
        </w:rPr>
        <w:t>/conciliación y una fase "decisoria"</w:t>
      </w:r>
      <w:r w:rsidR="00A67B6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16661" w:rsidRPr="00222833">
        <w:rPr>
          <w:rFonts w:ascii="Times New Roman" w:hAnsi="Times New Roman" w:cs="Times New Roman"/>
          <w:sz w:val="24"/>
          <w:szCs w:val="24"/>
          <w:lang w:val="es-ES"/>
        </w:rPr>
        <w:t>que puede revesti</w:t>
      </w:r>
      <w:r w:rsidR="00D31F8B" w:rsidRPr="00222833">
        <w:rPr>
          <w:rFonts w:ascii="Times New Roman" w:hAnsi="Times New Roman" w:cs="Times New Roman"/>
          <w:sz w:val="24"/>
          <w:szCs w:val="24"/>
          <w:lang w:val="es-ES"/>
        </w:rPr>
        <w:t>r la forma de una</w:t>
      </w:r>
      <w:r w:rsidR="00A67B6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recomendación no vinculante, arbitraje, mediación-arbitraje o adjudicación vinculante. </w:t>
      </w:r>
      <w:r w:rsidR="00F16661" w:rsidRPr="00222833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732B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ue </w:t>
      </w:r>
      <w:r w:rsidR="00CB56B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B56B2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ombudsman </w:t>
      </w:r>
      <w:r w:rsidR="00CB56B2" w:rsidRPr="00222833">
        <w:rPr>
          <w:rFonts w:ascii="Times New Roman" w:hAnsi="Times New Roman" w:cs="Times New Roman"/>
          <w:sz w:val="24"/>
          <w:szCs w:val="24"/>
          <w:lang w:val="es-ES"/>
        </w:rPr>
        <w:t>se articule como una entidad pública o privada</w:t>
      </w:r>
      <w:r w:rsidR="00F166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no parece tener demasiada importancia</w:t>
      </w:r>
      <w:r w:rsidR="00732B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130B4" w:rsidRPr="00222833">
        <w:rPr>
          <w:rFonts w:ascii="Times New Roman" w:hAnsi="Times New Roman" w:cs="Times New Roman"/>
          <w:sz w:val="24"/>
          <w:szCs w:val="24"/>
          <w:lang w:val="es-ES"/>
        </w:rPr>
        <w:t>si bien es cierto</w:t>
      </w:r>
      <w:r w:rsidR="006B20A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4130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20AD" w:rsidRPr="00222833">
        <w:rPr>
          <w:rFonts w:ascii="Times New Roman" w:hAnsi="Times New Roman" w:cs="Times New Roman"/>
          <w:sz w:val="24"/>
          <w:szCs w:val="24"/>
          <w:lang w:val="es-ES"/>
        </w:rPr>
        <w:t>cuando</w:t>
      </w:r>
      <w:r w:rsidR="00F06AF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el defensor del consumidor es un órgano público resulta</w:t>
      </w:r>
      <w:r w:rsidR="00732B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más fácil exigir la adhesión de</w:t>
      </w:r>
      <w:r w:rsidR="00F166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todos los comerciantes y </w:t>
      </w:r>
      <w:r w:rsidR="006B20AD" w:rsidRPr="00222833">
        <w:rPr>
          <w:rFonts w:ascii="Times New Roman" w:hAnsi="Times New Roman" w:cs="Times New Roman"/>
          <w:sz w:val="24"/>
          <w:szCs w:val="24"/>
          <w:lang w:val="es-ES"/>
        </w:rPr>
        <w:t>conseguir</w:t>
      </w:r>
      <w:r w:rsidR="00F166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financiación necesaria para que el sistema funcione</w:t>
      </w:r>
      <w:r w:rsidR="00A835E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C09C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 veces los sistemas de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0C09C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20AD" w:rsidRPr="00222833">
        <w:rPr>
          <w:rFonts w:ascii="Times New Roman" w:hAnsi="Times New Roman" w:cs="Times New Roman"/>
          <w:sz w:val="24"/>
          <w:szCs w:val="24"/>
          <w:lang w:val="es-ES"/>
        </w:rPr>
        <w:t>privados</w:t>
      </w:r>
      <w:r w:rsidR="000C09C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20AD" w:rsidRPr="00222833">
        <w:rPr>
          <w:rFonts w:ascii="Times New Roman" w:hAnsi="Times New Roman" w:cs="Times New Roman"/>
          <w:sz w:val="24"/>
          <w:szCs w:val="24"/>
          <w:lang w:val="es-ES"/>
        </w:rPr>
        <w:t>han sido convertidos en</w:t>
      </w:r>
      <w:r w:rsidR="008836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mecanismos públicos</w:t>
      </w:r>
      <w:r w:rsidR="00A835E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0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Una ventaja significativa del </w:t>
      </w:r>
      <w:r w:rsidR="00860E1A" w:rsidRPr="00222833">
        <w:rPr>
          <w:rFonts w:ascii="Times New Roman" w:hAnsi="Times New Roman" w:cs="Times New Roman"/>
          <w:i/>
          <w:sz w:val="24"/>
          <w:szCs w:val="24"/>
          <w:lang w:val="es-ES"/>
        </w:rPr>
        <w:t>ombudsman</w:t>
      </w:r>
      <w:r w:rsidR="00860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 el desarrollo simultáneo de funciones </w:t>
      </w:r>
      <w:r w:rsidR="0088363C" w:rsidRPr="00222833">
        <w:rPr>
          <w:rFonts w:ascii="Times New Roman" w:hAnsi="Times New Roman" w:cs="Times New Roman"/>
          <w:sz w:val="24"/>
          <w:szCs w:val="24"/>
          <w:lang w:val="es-ES"/>
        </w:rPr>
        <w:t>resolutorias</w:t>
      </w:r>
      <w:r w:rsidR="00860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 normativas que </w:t>
      </w:r>
      <w:r w:rsidR="0088363C" w:rsidRPr="00222833">
        <w:rPr>
          <w:rFonts w:ascii="Times New Roman" w:hAnsi="Times New Roman" w:cs="Times New Roman"/>
          <w:sz w:val="24"/>
          <w:szCs w:val="24"/>
          <w:lang w:val="es-ES"/>
        </w:rPr>
        <w:t>contribuyen</w:t>
      </w:r>
      <w:r w:rsidR="00860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 la supervisión del mercado por parte de las autoridad correspondiente. </w:t>
      </w:r>
    </w:p>
    <w:p w14:paraId="7CCF5C45" w14:textId="326BE987" w:rsidR="00A835ED" w:rsidRPr="00222833" w:rsidRDefault="00A835ED" w:rsidP="00CD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A421B7" w14:textId="43EF1D27" w:rsidR="004916E7" w:rsidRPr="00222833" w:rsidRDefault="00C059A1" w:rsidP="004916E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Para reclamaciones transfronterizas hace unos años se creó una red de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Centros Europeos del Consumidor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(ECC-Net)</w:t>
      </w:r>
      <w:r w:rsidR="004916E7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y un sistema relacionado para reclamaciones de tipo financiero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(FIN-Net)</w:t>
      </w:r>
      <w:r w:rsidR="004916E7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 el fin de asesorar, señalar y facilitar la negociación y la resolución </w:t>
      </w:r>
      <w:r w:rsidR="00A7710F" w:rsidRPr="00222833">
        <w:rPr>
          <w:rFonts w:ascii="Times New Roman" w:hAnsi="Times New Roman" w:cs="Times New Roman"/>
          <w:sz w:val="24"/>
          <w:szCs w:val="24"/>
          <w:lang w:val="es-ES"/>
        </w:rPr>
        <w:t>de litigios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 materia de consumo.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38C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asuntos relativos a la mala aplicación de la legislación del mercado </w:t>
      </w:r>
      <w:r w:rsidR="00BB72C0" w:rsidRPr="00222833">
        <w:rPr>
          <w:rFonts w:ascii="Times New Roman" w:hAnsi="Times New Roman" w:cs="Times New Roman"/>
          <w:sz w:val="24"/>
          <w:szCs w:val="24"/>
          <w:lang w:val="es-ES"/>
        </w:rPr>
        <w:t>interior</w:t>
      </w:r>
      <w:r w:rsidR="008538C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por parte de los poderes públicos se canalizan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>a través de la red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SOLVIT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5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>creada en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2002 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como red gratuita </w:t>
      </w:r>
      <w:r w:rsidR="00BC1FCF" w:rsidRPr="00222833">
        <w:rPr>
          <w:rFonts w:ascii="Times New Roman" w:hAnsi="Times New Roman" w:cs="Times New Roman"/>
          <w:i/>
          <w:sz w:val="24"/>
          <w:szCs w:val="24"/>
          <w:lang w:val="es-ES"/>
        </w:rPr>
        <w:t>online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38C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 colaboración entre 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Estados Miembros de la UE </w:t>
      </w:r>
      <w:r w:rsidR="008538C0" w:rsidRPr="00222833">
        <w:rPr>
          <w:rFonts w:ascii="Times New Roman" w:hAnsi="Times New Roman" w:cs="Times New Roman"/>
          <w:sz w:val="24"/>
          <w:szCs w:val="24"/>
          <w:lang w:val="es-ES"/>
        </w:rPr>
        <w:t>para la re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solución </w:t>
      </w:r>
      <w:r w:rsidR="00A7710F" w:rsidRPr="00222833">
        <w:rPr>
          <w:rFonts w:ascii="Times New Roman" w:hAnsi="Times New Roman" w:cs="Times New Roman"/>
          <w:sz w:val="24"/>
          <w:szCs w:val="24"/>
          <w:lang w:val="es-ES"/>
        </w:rPr>
        <w:t>de litigios</w:t>
      </w:r>
      <w:r w:rsidR="00BC1FC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sin </w:t>
      </w:r>
      <w:r w:rsidR="00857EE4" w:rsidRPr="00222833">
        <w:rPr>
          <w:rFonts w:ascii="Times New Roman" w:hAnsi="Times New Roman" w:cs="Times New Roman"/>
          <w:sz w:val="24"/>
          <w:szCs w:val="24"/>
          <w:lang w:val="es-ES"/>
        </w:rPr>
        <w:t>la interposición de acciones legales.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8F2" w:rsidRPr="00222833">
        <w:rPr>
          <w:rFonts w:ascii="Times New Roman" w:hAnsi="Times New Roman" w:cs="Times New Roman"/>
          <w:sz w:val="24"/>
          <w:szCs w:val="24"/>
          <w:lang w:val="es-ES"/>
        </w:rPr>
        <w:t>Por su parte, l</w:t>
      </w:r>
      <w:r w:rsidR="008538C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egislaciones sectoriales promueven u ordenan </w:t>
      </w:r>
      <w:r w:rsidR="00EB68C4" w:rsidRPr="0022283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38C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68C4" w:rsidRPr="00222833">
        <w:rPr>
          <w:rFonts w:ascii="Times New Roman" w:hAnsi="Times New Roman" w:cs="Times New Roman"/>
          <w:sz w:val="24"/>
          <w:szCs w:val="24"/>
          <w:lang w:val="es-ES"/>
        </w:rPr>
        <w:t>adopción</w:t>
      </w:r>
      <w:r w:rsidR="008538C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857EE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sistemas de </w:t>
      </w:r>
      <w:r w:rsidR="00A7710F" w:rsidRPr="00222833">
        <w:rPr>
          <w:rFonts w:ascii="Times New Roman" w:hAnsi="Times New Roman" w:cs="Times New Roman"/>
          <w:sz w:val="24"/>
          <w:szCs w:val="24"/>
          <w:lang w:val="es-ES"/>
        </w:rPr>
        <w:t>RAL</w:t>
      </w:r>
      <w:r w:rsidR="00857EE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relación con un número significativo de </w:t>
      </w:r>
      <w:r w:rsidR="00EB68C4" w:rsidRPr="00222833">
        <w:rPr>
          <w:rFonts w:ascii="Times New Roman" w:hAnsi="Times New Roman" w:cs="Times New Roman"/>
          <w:sz w:val="24"/>
          <w:szCs w:val="24"/>
          <w:lang w:val="es-ES"/>
        </w:rPr>
        <w:t>materias como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comercio electrónico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6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mercados de instrumentos financieros 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MiFID</w:t>
      </w:r>
      <w:proofErr w:type="spellEnd"/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),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7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servicios postales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8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servicios generales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9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servicios de pago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10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créditos al consumo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11"/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telecomunicaciones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12"/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energía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916E7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13"/>
      </w:r>
      <w:r w:rsidR="00FC3FB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1362EF" w:rsidRPr="00222833">
        <w:rPr>
          <w:rFonts w:ascii="Times New Roman" w:hAnsi="Times New Roman" w:cs="Times New Roman"/>
          <w:sz w:val="24"/>
          <w:szCs w:val="24"/>
          <w:lang w:val="es-ES"/>
        </w:rPr>
        <w:t>derechos de los viajeros de autobús y autocar</w:t>
      </w:r>
      <w:r w:rsidR="004916E7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4"/>
      </w:r>
      <w:r w:rsidR="004916E7" w:rsidRPr="0022283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FC3FB6" w:rsidRPr="00222833">
        <w:rPr>
          <w:rFonts w:ascii="Times New Roman" w:hAnsi="Times New Roman" w:cs="Times New Roman"/>
          <w:bCs/>
          <w:sz w:val="24"/>
          <w:szCs w:val="24"/>
          <w:lang w:val="es-ES"/>
        </w:rPr>
        <w:t>y las</w:t>
      </w:r>
      <w:r w:rsidR="004916E7" w:rsidRPr="0022283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1362EF" w:rsidRPr="00222833">
        <w:rPr>
          <w:rFonts w:ascii="Times New Roman" w:hAnsi="Times New Roman" w:cs="Times New Roman"/>
          <w:bCs/>
          <w:sz w:val="24"/>
          <w:szCs w:val="24"/>
          <w:lang w:val="es-ES"/>
        </w:rPr>
        <w:t>hipoteca</w:t>
      </w:r>
      <w:r w:rsidR="004916E7" w:rsidRPr="00222833">
        <w:rPr>
          <w:rFonts w:ascii="Times New Roman" w:hAnsi="Times New Roman" w:cs="Times New Roman"/>
          <w:bCs/>
          <w:sz w:val="24"/>
          <w:szCs w:val="24"/>
          <w:lang w:val="es-ES"/>
        </w:rPr>
        <w:t>s</w:t>
      </w:r>
      <w:r w:rsidR="004916E7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916E7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5"/>
      </w:r>
    </w:p>
    <w:p w14:paraId="05F34764" w14:textId="77777777" w:rsidR="00CD0FE6" w:rsidRPr="00222833" w:rsidRDefault="00CD0FE6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A15AC8" w14:textId="75744CEE" w:rsidR="004916E7" w:rsidRPr="00222833" w:rsidRDefault="007A3106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Las plataformas de comercio </w:t>
      </w:r>
      <w:r w:rsidRPr="00222833">
        <w:rPr>
          <w:rFonts w:ascii="Times New Roman" w:hAnsi="Times New Roman" w:cs="Times New Roman"/>
          <w:i/>
          <w:sz w:val="24"/>
          <w:szCs w:val="24"/>
          <w:lang w:val="es-ES"/>
        </w:rPr>
        <w:t>online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han adoptado un modelo de arbitraje </w:t>
      </w:r>
      <w:r w:rsidR="004F552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conocido </w:t>
      </w:r>
      <w:r w:rsidR="00946D3D" w:rsidRPr="00222833">
        <w:rPr>
          <w:rFonts w:ascii="Times New Roman" w:hAnsi="Times New Roman" w:cs="Times New Roman"/>
          <w:sz w:val="24"/>
          <w:szCs w:val="24"/>
          <w:lang w:val="es-ES"/>
        </w:rPr>
        <w:t>como ODR</w:t>
      </w:r>
      <w:r w:rsidR="004F552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6D3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4F552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sus siglas en inglés 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946D3D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Online Dispute </w:t>
      </w:r>
      <w:proofErr w:type="spellStart"/>
      <w:r w:rsidR="00946D3D" w:rsidRPr="00222833">
        <w:rPr>
          <w:rFonts w:ascii="Times New Roman" w:hAnsi="Times New Roman" w:cs="Times New Roman"/>
          <w:i/>
          <w:sz w:val="24"/>
          <w:szCs w:val="24"/>
          <w:lang w:val="es-ES"/>
        </w:rPr>
        <w:t>Resolution</w:t>
      </w:r>
      <w:proofErr w:type="spellEnd"/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E12410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6"/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2FA7" w:rsidRPr="00222833">
        <w:rPr>
          <w:rFonts w:ascii="Times New Roman" w:hAnsi="Times New Roman" w:cs="Times New Roman"/>
          <w:sz w:val="24"/>
          <w:szCs w:val="24"/>
          <w:lang w:val="es-ES"/>
        </w:rPr>
        <w:t>Se acepta comúnmente</w:t>
      </w:r>
      <w:r w:rsidR="00C6732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la explosión del comercio electrónico en todo el mundo no </w:t>
      </w:r>
      <w:r w:rsidR="0035740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habría </w:t>
      </w:r>
      <w:r w:rsidR="00862FA7" w:rsidRPr="00222833">
        <w:rPr>
          <w:rFonts w:ascii="Times New Roman" w:hAnsi="Times New Roman" w:cs="Times New Roman"/>
          <w:sz w:val="24"/>
          <w:szCs w:val="24"/>
          <w:lang w:val="es-ES"/>
        </w:rPr>
        <w:t>sido posible</w:t>
      </w:r>
      <w:r w:rsidR="0035740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732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sin el </w:t>
      </w:r>
      <w:r w:rsidR="004E7FF3" w:rsidRPr="00222833">
        <w:rPr>
          <w:rFonts w:ascii="Times New Roman" w:hAnsi="Times New Roman" w:cs="Times New Roman"/>
          <w:sz w:val="24"/>
          <w:szCs w:val="24"/>
          <w:lang w:val="es-ES"/>
        </w:rPr>
        <w:t>respaldo</w:t>
      </w:r>
      <w:r w:rsidR="009670C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8F2" w:rsidRPr="00222833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C6732B" w:rsidRPr="00222833">
        <w:rPr>
          <w:rFonts w:ascii="Times New Roman" w:hAnsi="Times New Roman" w:cs="Times New Roman"/>
          <w:sz w:val="24"/>
          <w:szCs w:val="24"/>
          <w:lang w:val="es-ES"/>
        </w:rPr>
        <w:t>el elemento esencial de la confianza que proporciona un sistema de ODR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12410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7"/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00A5" w:rsidRPr="00222833">
        <w:rPr>
          <w:rFonts w:ascii="Times New Roman" w:hAnsi="Times New Roman" w:cs="Times New Roman"/>
          <w:sz w:val="24"/>
          <w:szCs w:val="24"/>
          <w:lang w:val="es-ES"/>
        </w:rPr>
        <w:t>En realidad,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muchos de esos sistemas</w:t>
      </w:r>
      <w:r w:rsidR="0035740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no incorporan un mecanismo de resolución de conflictos o de toma de decisiones</w:t>
      </w:r>
      <w:r w:rsidR="00862FA7" w:rsidRPr="00222833">
        <w:rPr>
          <w:rFonts w:ascii="Times New Roman" w:hAnsi="Times New Roman" w:cs="Times New Roman"/>
          <w:sz w:val="24"/>
          <w:szCs w:val="24"/>
          <w:lang w:val="es-ES"/>
        </w:rPr>
        <w:t>. Más bien</w:t>
      </w:r>
      <w:r w:rsidR="0035740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se basan 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CE00A5" w:rsidRPr="00222833">
        <w:rPr>
          <w:rFonts w:ascii="Times New Roman" w:hAnsi="Times New Roman" w:cs="Times New Roman"/>
          <w:sz w:val="24"/>
          <w:szCs w:val="24"/>
          <w:lang w:val="es-ES"/>
        </w:rPr>
        <w:t>las quejas de los</w:t>
      </w:r>
      <w:r w:rsidR="00862FA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consumidores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862FA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E7FF3" w:rsidRPr="00222833">
        <w:rPr>
          <w:rFonts w:ascii="Times New Roman" w:hAnsi="Times New Roman" w:cs="Times New Roman"/>
          <w:sz w:val="24"/>
          <w:szCs w:val="24"/>
          <w:lang w:val="es-ES"/>
        </w:rPr>
        <w:t>amenaza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862FA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58C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medidas disciplinarias por parte del proveedor de la plataforma de comercio </w:t>
      </w:r>
      <w:r w:rsidR="008B58C6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online </w:t>
      </w:r>
      <w:r w:rsidR="008B58C6" w:rsidRPr="00222833">
        <w:rPr>
          <w:rFonts w:ascii="Times New Roman" w:hAnsi="Times New Roman" w:cs="Times New Roman"/>
          <w:sz w:val="24"/>
          <w:szCs w:val="24"/>
          <w:lang w:val="es-ES"/>
        </w:rPr>
        <w:t>en caso de que se publiquen</w:t>
      </w:r>
      <w:r w:rsidR="00174B5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>comentarios desfavorables</w:t>
      </w:r>
      <w:r w:rsidR="008B58C6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58C6" w:rsidRPr="00222833">
        <w:rPr>
          <w:rFonts w:ascii="Times New Roman" w:hAnsi="Times New Roman" w:cs="Times New Roman"/>
          <w:sz w:val="24"/>
          <w:szCs w:val="24"/>
          <w:lang w:val="es-ES"/>
        </w:rPr>
        <w:t>Se trata, pues, de un mecanismo con</w:t>
      </w:r>
      <w:r w:rsidR="00626F8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509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facultades reguladoras incorporadas. </w:t>
      </w:r>
    </w:p>
    <w:p w14:paraId="7E708164" w14:textId="77777777" w:rsidR="00E12410" w:rsidRPr="00222833" w:rsidRDefault="00E12410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33DDC59" w14:textId="158E57CC" w:rsidR="00A6468A" w:rsidRPr="00222833" w:rsidRDefault="0073509D" w:rsidP="00A6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660E57" w:rsidRPr="00222833">
        <w:rPr>
          <w:rFonts w:ascii="Times New Roman" w:hAnsi="Times New Roman" w:cs="Times New Roman"/>
          <w:sz w:val="24"/>
          <w:szCs w:val="24"/>
          <w:lang w:val="es-ES"/>
        </w:rPr>
        <w:t>cantidad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reclamaciones en materia de consumo tramitadas por algunos sistemas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660E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0298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es impresionante y sugiere </w:t>
      </w:r>
      <w:r w:rsidR="00660E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su potencial </w:t>
      </w:r>
      <w:r w:rsidR="0080298F" w:rsidRPr="00222833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660E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remover </w:t>
      </w:r>
      <w:r w:rsidR="0080298F" w:rsidRPr="00222833">
        <w:rPr>
          <w:rFonts w:ascii="Times New Roman" w:hAnsi="Times New Roman" w:cs="Times New Roman"/>
          <w:sz w:val="24"/>
          <w:szCs w:val="24"/>
          <w:lang w:val="es-ES"/>
        </w:rPr>
        <w:t>las dificultades de acceso a la justicia</w:t>
      </w:r>
      <w:r w:rsidR="00660E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3961" w:rsidRPr="00222833">
        <w:rPr>
          <w:rFonts w:ascii="Times New Roman" w:hAnsi="Times New Roman" w:cs="Times New Roman"/>
          <w:sz w:val="24"/>
          <w:szCs w:val="24"/>
          <w:lang w:val="es-ES"/>
        </w:rPr>
        <w:t>por motivos de</w:t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3961" w:rsidRPr="00222833">
        <w:rPr>
          <w:rFonts w:ascii="Times New Roman" w:hAnsi="Times New Roman" w:cs="Times New Roman"/>
          <w:sz w:val="24"/>
          <w:szCs w:val="24"/>
          <w:lang w:val="es-ES"/>
        </w:rPr>
        <w:t>costes</w:t>
      </w:r>
      <w:r w:rsidR="0080298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74B5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939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dificultad de uso y </w:t>
      </w:r>
      <w:r w:rsidR="00174B5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939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falta de accesibilidad a otros mecanismos tradicionales. El </w:t>
      </w:r>
      <w:proofErr w:type="spellStart"/>
      <w:r w:rsidR="00A93961" w:rsidRPr="00222833">
        <w:rPr>
          <w:rFonts w:ascii="Times New Roman" w:hAnsi="Times New Roman" w:cs="Times New Roman"/>
          <w:i/>
          <w:sz w:val="24"/>
          <w:szCs w:val="24"/>
          <w:lang w:val="es-ES"/>
        </w:rPr>
        <w:t>Financial</w:t>
      </w:r>
      <w:proofErr w:type="spellEnd"/>
      <w:r w:rsidR="00A93961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Ombudsman </w:t>
      </w:r>
      <w:proofErr w:type="spellStart"/>
      <w:r w:rsidR="00A93961" w:rsidRPr="00222833">
        <w:rPr>
          <w:rFonts w:ascii="Times New Roman" w:hAnsi="Times New Roman" w:cs="Times New Roman"/>
          <w:i/>
          <w:sz w:val="24"/>
          <w:szCs w:val="24"/>
          <w:lang w:val="es-ES"/>
        </w:rPr>
        <w:t>Service</w:t>
      </w:r>
      <w:proofErr w:type="spellEnd"/>
      <w:r w:rsidR="00A939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del Reino Unido recibe más de dos millones de consultas al año y resuelve unos 400.000 </w:t>
      </w:r>
      <w:r w:rsidR="00C45A23" w:rsidRPr="00222833">
        <w:rPr>
          <w:rFonts w:ascii="Times New Roman" w:hAnsi="Times New Roman" w:cs="Times New Roman"/>
          <w:sz w:val="24"/>
          <w:szCs w:val="24"/>
          <w:lang w:val="es-ES"/>
        </w:rPr>
        <w:t>litigios</w:t>
      </w:r>
      <w:r w:rsidR="00A939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Muchos </w:t>
      </w:r>
      <w:r w:rsidR="003C4DE8" w:rsidRPr="00222833">
        <w:rPr>
          <w:rFonts w:ascii="Times New Roman" w:hAnsi="Times New Roman" w:cs="Times New Roman"/>
          <w:sz w:val="24"/>
          <w:szCs w:val="24"/>
          <w:lang w:val="es-ES"/>
        </w:rPr>
        <w:t>se refieren a temas similares por lo que el sistema permite el recurso en masa o colectivo</w:t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6468A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8"/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4DE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los Países Bajos las 50 Juntas </w:t>
      </w:r>
      <w:r w:rsidR="004E7FF3" w:rsidRPr="00222833">
        <w:rPr>
          <w:rFonts w:ascii="Times New Roman" w:hAnsi="Times New Roman" w:cs="Times New Roman"/>
          <w:sz w:val="24"/>
          <w:szCs w:val="24"/>
          <w:lang w:val="es-ES"/>
        </w:rPr>
        <w:t>Arbitrales</w:t>
      </w:r>
      <w:r w:rsidR="003C4DE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sectoriales 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>tramitan unas 11.000 reclamaciones al año.</w:t>
      </w:r>
      <w:r w:rsidR="003C4DE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>n Finland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>ia</w:t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Suecia, Noruega y Dinamarca, </w:t>
      </w:r>
      <w:r w:rsidR="0057016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tribunales 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>prácticamente</w:t>
      </w:r>
      <w:r w:rsidR="0057016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ya no conocen de reclamaciones en materia de </w:t>
      </w:r>
      <w:r w:rsidR="004E7FF3" w:rsidRPr="00222833">
        <w:rPr>
          <w:rFonts w:ascii="Times New Roman" w:hAnsi="Times New Roman" w:cs="Times New Roman"/>
          <w:sz w:val="24"/>
          <w:szCs w:val="24"/>
          <w:lang w:val="es-ES"/>
        </w:rPr>
        <w:t>consumidores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5A2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puesto 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que se canalizan a través del sistema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>. Asimismo, en dichos países</w:t>
      </w:r>
      <w:r w:rsidR="00A5270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21F5" w:rsidRPr="00222833">
        <w:rPr>
          <w:rFonts w:ascii="Times New Roman" w:hAnsi="Times New Roman" w:cs="Times New Roman"/>
          <w:sz w:val="24"/>
          <w:szCs w:val="24"/>
          <w:lang w:val="es-ES"/>
        </w:rPr>
        <w:t>los conflictos en materia de negligencia médica o de responsabilidad por producto</w:t>
      </w:r>
      <w:r w:rsidR="00A5270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770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C45A23" w:rsidRPr="00222833">
        <w:rPr>
          <w:rFonts w:ascii="Times New Roman" w:hAnsi="Times New Roman" w:cs="Times New Roman"/>
          <w:sz w:val="24"/>
          <w:szCs w:val="24"/>
          <w:lang w:val="es-ES"/>
        </w:rPr>
        <w:t>resuelven</w:t>
      </w:r>
      <w:r w:rsidR="003D770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782C" w:rsidRPr="00222833">
        <w:rPr>
          <w:rFonts w:ascii="Times New Roman" w:hAnsi="Times New Roman" w:cs="Times New Roman"/>
          <w:sz w:val="24"/>
          <w:szCs w:val="24"/>
          <w:lang w:val="es-ES"/>
        </w:rPr>
        <w:t>por medio</w:t>
      </w:r>
      <w:r w:rsidR="003D770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sistemas de "</w:t>
      </w:r>
      <w:r w:rsidR="00DC782C" w:rsidRPr="00222833">
        <w:rPr>
          <w:rFonts w:ascii="Times New Roman" w:hAnsi="Times New Roman" w:cs="Times New Roman"/>
          <w:sz w:val="24"/>
          <w:szCs w:val="24"/>
          <w:lang w:val="es-ES"/>
        </w:rPr>
        <w:t>indemnización sin culpa"</w:t>
      </w:r>
      <w:r w:rsidR="00C45A2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sin intervención</w:t>
      </w:r>
      <w:r w:rsidR="00A5270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lo</w:t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5270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tribunales</w:t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6468A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19"/>
      </w:r>
      <w:r w:rsidR="00A646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D20CEAB" w14:textId="77777777" w:rsidR="00E12410" w:rsidRPr="00222833" w:rsidRDefault="00E12410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B842F6B" w14:textId="77777777" w:rsidR="00A6468A" w:rsidRPr="00222833" w:rsidRDefault="00A6468A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C0C523A" w14:textId="4B559B2C" w:rsidR="005A422F" w:rsidRPr="00222833" w:rsidRDefault="00467BFF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Problemática de los procesos judiciales de escasa cuantía</w:t>
      </w:r>
    </w:p>
    <w:p w14:paraId="5A6A79D1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D31D59D" w14:textId="55A5E32B" w:rsidR="00C25FA3" w:rsidRPr="00222833" w:rsidRDefault="00C45A23" w:rsidP="00C2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Son cada</w:t>
      </w:r>
      <w:r w:rsidR="00D81D8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vez más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los datos que</w:t>
      </w:r>
      <w:r w:rsidR="00D81D8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demuestran el descontento</w:t>
      </w:r>
      <w:r w:rsidR="007A501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del público</w:t>
      </w:r>
      <w:r w:rsidR="00D81D8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con los procedimientos jurisdiccionales </w:t>
      </w:r>
      <w:r w:rsidR="00353578" w:rsidRPr="00222833">
        <w:rPr>
          <w:rFonts w:ascii="Times New Roman" w:hAnsi="Times New Roman" w:cs="Times New Roman"/>
          <w:sz w:val="24"/>
          <w:szCs w:val="24"/>
          <w:lang w:val="es-ES"/>
        </w:rPr>
        <w:t>tradicionales</w:t>
      </w:r>
      <w:r w:rsidR="00D81D8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4130B4" w:rsidRPr="0022283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A501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otros métodos como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6ED7" w:rsidRPr="00222833">
        <w:rPr>
          <w:rFonts w:ascii="Times New Roman" w:hAnsi="Times New Roman" w:cs="Times New Roman"/>
          <w:sz w:val="24"/>
          <w:szCs w:val="24"/>
          <w:lang w:val="es-ES"/>
        </w:rPr>
        <w:t>los procesos de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6ED7" w:rsidRPr="00222833">
        <w:rPr>
          <w:rFonts w:ascii="Times New Roman" w:hAnsi="Times New Roman" w:cs="Times New Roman"/>
          <w:sz w:val="24"/>
          <w:szCs w:val="24"/>
          <w:lang w:val="es-ES"/>
        </w:rPr>
        <w:t>escasa cuantía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0"/>
      </w:r>
      <w:r w:rsidR="00136ED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 las acciones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5014" w:rsidRPr="00222833">
        <w:rPr>
          <w:rFonts w:ascii="Times New Roman" w:hAnsi="Times New Roman" w:cs="Times New Roman"/>
          <w:sz w:val="24"/>
          <w:szCs w:val="24"/>
          <w:lang w:val="es-ES"/>
        </w:rPr>
        <w:t>col</w:t>
      </w:r>
      <w:r w:rsidR="00136ED7" w:rsidRPr="00222833">
        <w:rPr>
          <w:rFonts w:ascii="Times New Roman" w:hAnsi="Times New Roman" w:cs="Times New Roman"/>
          <w:sz w:val="24"/>
          <w:szCs w:val="24"/>
          <w:lang w:val="es-ES"/>
        </w:rPr>
        <w:t>ectivas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1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5014" w:rsidRPr="00222833">
        <w:rPr>
          <w:rFonts w:ascii="Times New Roman" w:hAnsi="Times New Roman" w:cs="Times New Roman"/>
          <w:sz w:val="24"/>
          <w:szCs w:val="24"/>
          <w:lang w:val="es-ES"/>
        </w:rPr>
        <w:t>Diversos</w:t>
      </w:r>
      <w:r w:rsidR="00136ED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estudios apuntan a </w:t>
      </w:r>
      <w:r w:rsidR="007A5014" w:rsidRPr="00222833">
        <w:rPr>
          <w:rFonts w:ascii="Times New Roman" w:hAnsi="Times New Roman" w:cs="Times New Roman"/>
          <w:sz w:val="24"/>
          <w:szCs w:val="24"/>
          <w:lang w:val="es-ES"/>
        </w:rPr>
        <w:t>varios</w:t>
      </w:r>
      <w:r w:rsidR="00136ED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problemas con </w:t>
      </w:r>
      <w:r w:rsidR="00136ED7"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>los procesos de escasa cuantía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2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45F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6E1FEB" w:rsidRPr="00222833">
        <w:rPr>
          <w:rFonts w:ascii="Times New Roman" w:hAnsi="Times New Roman" w:cs="Times New Roman"/>
          <w:sz w:val="24"/>
          <w:szCs w:val="24"/>
          <w:lang w:val="es-ES"/>
        </w:rPr>
        <w:t>concluyen que</w:t>
      </w:r>
      <w:r w:rsidR="00F845F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consumidores europeos sólo </w:t>
      </w:r>
      <w:r w:rsidR="006E1FEB" w:rsidRPr="00222833">
        <w:rPr>
          <w:rFonts w:ascii="Times New Roman" w:hAnsi="Times New Roman" w:cs="Times New Roman"/>
          <w:sz w:val="24"/>
          <w:szCs w:val="24"/>
          <w:lang w:val="es-ES"/>
        </w:rPr>
        <w:t>están dispuestos a recurrir a ellos</w:t>
      </w:r>
      <w:r w:rsidR="00F845F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si el importe en cuestión </w:t>
      </w:r>
      <w:r w:rsidR="00FD344A" w:rsidRPr="00222833">
        <w:rPr>
          <w:rFonts w:ascii="Times New Roman" w:hAnsi="Times New Roman" w:cs="Times New Roman"/>
          <w:sz w:val="24"/>
          <w:szCs w:val="24"/>
          <w:lang w:val="es-ES"/>
        </w:rPr>
        <w:t>supera aproximadamente los</w:t>
      </w:r>
      <w:r w:rsidR="003C5ED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200</w:t>
      </w:r>
      <w:r w:rsidR="003C5ED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€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3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5ED1" w:rsidRPr="00222833">
        <w:rPr>
          <w:rFonts w:ascii="Times New Roman" w:hAnsi="Times New Roman" w:cs="Times New Roman"/>
          <w:sz w:val="24"/>
          <w:szCs w:val="24"/>
          <w:lang w:val="es-ES"/>
        </w:rPr>
        <w:t>Según una encuesta de la Comisión</w:t>
      </w:r>
      <w:r w:rsidR="00FD344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Europea</w:t>
      </w:r>
      <w:r w:rsidR="003C5ED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2011 </w:t>
      </w:r>
      <w:r w:rsidR="003C5ED1" w:rsidRPr="00222833">
        <w:rPr>
          <w:rFonts w:ascii="Times New Roman" w:hAnsi="Times New Roman" w:cs="Times New Roman"/>
          <w:sz w:val="24"/>
          <w:szCs w:val="24"/>
          <w:lang w:val="es-ES"/>
        </w:rPr>
        <w:t>la mayoría de los encuestados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6E1FE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53</w:t>
      </w:r>
      <w:r w:rsidR="003C5ED1" w:rsidRPr="00222833">
        <w:rPr>
          <w:rFonts w:ascii="Times New Roman" w:hAnsi="Times New Roman" w:cs="Times New Roman"/>
          <w:sz w:val="24"/>
          <w:szCs w:val="24"/>
          <w:lang w:val="es-ES"/>
        </w:rPr>
        <w:t>%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3C5ED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solamente acudirían a los tribunales si </w:t>
      </w:r>
      <w:r w:rsidR="006E1FE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reclamación oscila </w:t>
      </w:r>
      <w:r w:rsidR="008F0D8F" w:rsidRPr="00222833">
        <w:rPr>
          <w:rFonts w:ascii="Times New Roman" w:hAnsi="Times New Roman" w:cs="Times New Roman"/>
          <w:sz w:val="24"/>
          <w:szCs w:val="24"/>
          <w:lang w:val="es-ES"/>
        </w:rPr>
        <w:t>entre</w:t>
      </w:r>
      <w:r w:rsidR="00FE616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101 € y</w:t>
      </w:r>
      <w:r w:rsidR="008F0D8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</w:t>
      </w:r>
      <w:r w:rsidR="00FE616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344A" w:rsidRPr="00222833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500</w:t>
      </w:r>
      <w:r w:rsidR="00FE616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€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4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1262" w:rsidRPr="00222833">
        <w:rPr>
          <w:rFonts w:ascii="Times New Roman" w:hAnsi="Times New Roman" w:cs="Times New Roman"/>
          <w:sz w:val="24"/>
          <w:szCs w:val="24"/>
          <w:lang w:val="es-ES"/>
        </w:rPr>
        <w:t>La encuesta concluyó que el</w:t>
      </w:r>
      <w:r w:rsidR="00367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uso del</w:t>
      </w:r>
      <w:r w:rsidR="002C126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Proceso Europeo de Escasa Cuantía</w:t>
      </w:r>
      <w:r w:rsidR="00367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(PEEC)</w:t>
      </w:r>
      <w:r w:rsidR="00134C3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7E1A" w:rsidRPr="00222833">
        <w:rPr>
          <w:rFonts w:ascii="Times New Roman" w:hAnsi="Times New Roman" w:cs="Times New Roman"/>
          <w:sz w:val="24"/>
          <w:szCs w:val="24"/>
          <w:lang w:val="es-ES"/>
        </w:rPr>
        <w:t>es "más bien limitado teniendo en cuenta el número de posibles casos"</w:t>
      </w:r>
      <w:r w:rsidR="00134C37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5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7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 ahí que el tope de las reclamaciones </w:t>
      </w:r>
      <w:r w:rsidR="00FD344A" w:rsidRPr="00222833">
        <w:rPr>
          <w:rFonts w:ascii="Times New Roman" w:hAnsi="Times New Roman" w:cs="Times New Roman"/>
          <w:sz w:val="24"/>
          <w:szCs w:val="24"/>
          <w:lang w:val="es-ES"/>
        </w:rPr>
        <w:t>que pueden tramitarse por el</w:t>
      </w:r>
      <w:r w:rsidR="00367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PEEC haya </w:t>
      </w:r>
      <w:r w:rsidR="00FD344A" w:rsidRPr="00222833">
        <w:rPr>
          <w:rFonts w:ascii="Times New Roman" w:hAnsi="Times New Roman" w:cs="Times New Roman"/>
          <w:sz w:val="24"/>
          <w:szCs w:val="24"/>
          <w:lang w:val="es-ES"/>
        </w:rPr>
        <w:t>aumentado</w:t>
      </w:r>
      <w:r w:rsidR="00367E1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los 2000 € a los 5000 €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6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730D" w:rsidRPr="00222833">
        <w:rPr>
          <w:rFonts w:ascii="Times New Roman" w:hAnsi="Times New Roman" w:cs="Times New Roman"/>
          <w:sz w:val="24"/>
          <w:szCs w:val="24"/>
          <w:lang w:val="es-ES"/>
        </w:rPr>
        <w:t>Sin embargo</w:t>
      </w:r>
      <w:r w:rsidR="00134C3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0730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objetivos del PEEC manifestados en los documentos que introdujeron la propuesta casi no hacían referencia a las reclamaciones en materia de consumo y parecían ir </w:t>
      </w:r>
      <w:r w:rsidR="0080414C" w:rsidRPr="00222833">
        <w:rPr>
          <w:rFonts w:ascii="Times New Roman" w:hAnsi="Times New Roman" w:cs="Times New Roman"/>
          <w:sz w:val="24"/>
          <w:szCs w:val="24"/>
          <w:lang w:val="es-ES"/>
        </w:rPr>
        <w:t>encaminados</w:t>
      </w:r>
      <w:r w:rsidR="00D0730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principalmente a</w:t>
      </w:r>
      <w:r w:rsidR="0080414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las reclamaciones contra las pequeñas empresas</w:t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66109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7"/>
      </w:r>
      <w:r w:rsidR="00134C3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28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posible armonización de las acciones colectivas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viene siendo objeto de debate</w:t>
      </w:r>
      <w:r w:rsidR="008E28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desde hace varios</w:t>
      </w:r>
      <w:r w:rsidR="00D0730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años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0730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si bien</w:t>
      </w:r>
      <w:r w:rsidR="008E28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no se ha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formulado</w:t>
      </w:r>
      <w:r w:rsidR="008E28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propuesta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alguna</w:t>
      </w:r>
      <w:r w:rsidR="008E28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dada la dificultad admitida de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dar con</w:t>
      </w:r>
      <w:r w:rsidR="008E28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combinación adecuada de garantías frente a posibles abusos y la necesidad de </w:t>
      </w:r>
      <w:r w:rsidR="00E301AF" w:rsidRPr="00222833">
        <w:rPr>
          <w:rFonts w:ascii="Times New Roman" w:hAnsi="Times New Roman" w:cs="Times New Roman"/>
          <w:sz w:val="24"/>
          <w:szCs w:val="24"/>
          <w:lang w:val="es-ES"/>
        </w:rPr>
        <w:t>compatibilizar</w:t>
      </w:r>
      <w:r w:rsidR="008E283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1A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dichas garantías con la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accesibilidad a este remedio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8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1A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2013 se publicó un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borrador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9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1A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="00E9097F" w:rsidRPr="00222833">
        <w:rPr>
          <w:rFonts w:ascii="Times New Roman" w:hAnsi="Times New Roman" w:cs="Times New Roman"/>
          <w:sz w:val="24"/>
          <w:szCs w:val="24"/>
          <w:lang w:val="es-ES"/>
        </w:rPr>
        <w:t>la experiencia sugiere</w:t>
      </w:r>
      <w:r w:rsidR="00E301A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las acciones colectivas </w:t>
      </w:r>
      <w:r w:rsidR="00AA6C8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nacionales se utilizan </w:t>
      </w:r>
      <w:r w:rsidR="00222833" w:rsidRPr="00222833">
        <w:rPr>
          <w:rFonts w:ascii="Times New Roman" w:hAnsi="Times New Roman" w:cs="Times New Roman"/>
          <w:sz w:val="24"/>
          <w:szCs w:val="24"/>
          <w:lang w:val="es-ES"/>
        </w:rPr>
        <w:t>más bien</w:t>
      </w:r>
      <w:r w:rsidR="00AA6C8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poco ya que existen </w:t>
      </w:r>
      <w:r w:rsidR="004E7FF3" w:rsidRPr="00222833">
        <w:rPr>
          <w:rFonts w:ascii="Times New Roman" w:hAnsi="Times New Roman" w:cs="Times New Roman"/>
          <w:sz w:val="24"/>
          <w:szCs w:val="24"/>
          <w:lang w:val="es-ES"/>
        </w:rPr>
        <w:t>opciones</w:t>
      </w:r>
      <w:r w:rsidR="00AA6C8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más atractivas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0"/>
      </w:r>
    </w:p>
    <w:p w14:paraId="349E3E16" w14:textId="77777777" w:rsidR="00F66109" w:rsidRPr="00222833" w:rsidRDefault="00F66109" w:rsidP="00F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BDCA2C7" w14:textId="2E071ACB" w:rsidR="00C25FA3" w:rsidRPr="00222833" w:rsidRDefault="002E0A8B" w:rsidP="00F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Por el contrario</w:t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12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sistemas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B12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han demostrado ser económicos y rápidos. La inmensa mayoría son gratuitos o representan un mín</w:t>
      </w:r>
      <w:r w:rsidR="00222833" w:rsidRPr="0022283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B12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mo coste para los consumidores 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B12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menos de 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50</w:t>
      </w:r>
      <w:r w:rsidR="00B12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€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B12FBE" w:rsidRPr="00222833">
        <w:rPr>
          <w:rFonts w:ascii="Times New Roman" w:hAnsi="Times New Roman" w:cs="Times New Roman"/>
          <w:sz w:val="24"/>
          <w:szCs w:val="24"/>
          <w:lang w:val="es-ES"/>
        </w:rPr>
        <w:t>y se resuelven en un breve período de tiempo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B12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90 días de </w:t>
      </w:r>
      <w:r w:rsidR="00222833" w:rsidRPr="00222833">
        <w:rPr>
          <w:rFonts w:ascii="Times New Roman" w:hAnsi="Times New Roman" w:cs="Times New Roman"/>
          <w:sz w:val="24"/>
          <w:szCs w:val="24"/>
          <w:lang w:val="es-ES"/>
        </w:rPr>
        <w:t>promedio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C25FA3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31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3577A6" w14:textId="77777777" w:rsidR="00C25FA3" w:rsidRPr="00222833" w:rsidRDefault="00C25FA3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AADDF43" w14:textId="77777777" w:rsidR="00C25FA3" w:rsidRPr="00222833" w:rsidRDefault="00C25FA3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D68D72E" w14:textId="2C80BAF6" w:rsidR="00C25FA3" w:rsidRPr="00222833" w:rsidRDefault="00CA4635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Normativa europea sobre</w:t>
      </w:r>
      <w:r w:rsidR="00C25FA3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b/>
          <w:sz w:val="24"/>
          <w:szCs w:val="24"/>
          <w:lang w:val="es-ES"/>
        </w:rPr>
        <w:t>RLC</w:t>
      </w:r>
    </w:p>
    <w:p w14:paraId="2A13CC37" w14:textId="77777777" w:rsidR="00C25FA3" w:rsidRPr="00222833" w:rsidRDefault="00C25FA3" w:rsidP="00C2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7A62ED3" w14:textId="333027BF" w:rsidR="00E86FB4" w:rsidRPr="00222833" w:rsidRDefault="00A36808" w:rsidP="00C2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El respaldo de la UE a </w:t>
      </w:r>
      <w:r w:rsidR="008F0F34" w:rsidRPr="00222833">
        <w:rPr>
          <w:rFonts w:ascii="Times New Roman" w:hAnsi="Times New Roman" w:cs="Times New Roman"/>
          <w:sz w:val="24"/>
          <w:szCs w:val="24"/>
          <w:lang w:val="es-ES"/>
        </w:rPr>
        <w:t>los métodos de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RAL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ha ido</w:t>
      </w:r>
      <w:r w:rsidR="00222833">
        <w:rPr>
          <w:rFonts w:ascii="Times New Roman" w:hAnsi="Times New Roman" w:cs="Times New Roman"/>
          <w:sz w:val="24"/>
          <w:szCs w:val="24"/>
          <w:lang w:val="es-ES"/>
        </w:rPr>
        <w:t xml:space="preserve"> en aumento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12410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32"/>
      </w:r>
      <w:r w:rsidR="00E12410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Así, la UE ha adoptado la </w:t>
      </w:r>
      <w:r w:rsidR="000E6B3D" w:rsidRPr="00222833">
        <w:rPr>
          <w:rFonts w:ascii="Times New Roman" w:hAnsi="Times New Roman" w:cs="Times New Roman"/>
          <w:sz w:val="24"/>
          <w:szCs w:val="24"/>
          <w:lang w:val="es-ES"/>
        </w:rPr>
        <w:t>mediación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forma generalizada en relación con las reclamaciones transfronterizas e incluye requisitos en materia de confidencialidad del proceso y </w:t>
      </w:r>
      <w:r w:rsidR="000E6B3D" w:rsidRPr="00222833">
        <w:rPr>
          <w:rFonts w:ascii="Times New Roman" w:hAnsi="Times New Roman" w:cs="Times New Roman"/>
          <w:sz w:val="24"/>
          <w:szCs w:val="24"/>
          <w:lang w:val="es-ES"/>
        </w:rPr>
        <w:t>eficacia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los pactos</w:t>
      </w:r>
      <w:r w:rsidR="001533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6B3D" w:rsidRPr="00222833">
        <w:rPr>
          <w:rFonts w:ascii="Times New Roman" w:hAnsi="Times New Roman" w:cs="Times New Roman"/>
          <w:sz w:val="24"/>
          <w:szCs w:val="24"/>
          <w:lang w:val="es-ES"/>
        </w:rPr>
        <w:t>de su</w:t>
      </w:r>
      <w:r w:rsidR="008F0F34" w:rsidRPr="00222833">
        <w:rPr>
          <w:rFonts w:ascii="Times New Roman" w:hAnsi="Times New Roman" w:cs="Times New Roman"/>
          <w:sz w:val="24"/>
          <w:szCs w:val="24"/>
          <w:lang w:val="es-ES"/>
        </w:rPr>
        <w:t>misión a esta fo</w:t>
      </w:r>
      <w:r w:rsidR="00153376">
        <w:rPr>
          <w:rFonts w:ascii="Times New Roman" w:hAnsi="Times New Roman" w:cs="Times New Roman"/>
          <w:sz w:val="24"/>
          <w:szCs w:val="24"/>
          <w:lang w:val="es-ES"/>
        </w:rPr>
        <w:t>rma de resolución de conflictos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12410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33"/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F34" w:rsidRPr="00222833">
        <w:rPr>
          <w:rFonts w:ascii="Times New Roman" w:hAnsi="Times New Roman" w:cs="Times New Roman"/>
          <w:sz w:val="24"/>
          <w:szCs w:val="24"/>
          <w:lang w:val="es-ES"/>
        </w:rPr>
        <w:t>La UE ha adoptado</w:t>
      </w:r>
      <w:r w:rsidR="0033753C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8F0F3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6AA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como primer mecanismo </w:t>
      </w:r>
      <w:r w:rsidR="00271AC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446AA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resolución de conflictos </w:t>
      </w:r>
      <w:r w:rsidR="00271AC7">
        <w:rPr>
          <w:rFonts w:ascii="Times New Roman" w:hAnsi="Times New Roman" w:cs="Times New Roman"/>
          <w:sz w:val="24"/>
          <w:szCs w:val="24"/>
          <w:lang w:val="es-ES"/>
        </w:rPr>
        <w:t xml:space="preserve"> entre los clientes y </w:t>
      </w:r>
      <w:r w:rsidR="0033753C">
        <w:rPr>
          <w:rFonts w:ascii="Times New Roman" w:hAnsi="Times New Roman" w:cs="Times New Roman"/>
          <w:sz w:val="24"/>
          <w:szCs w:val="24"/>
          <w:lang w:val="es-ES"/>
        </w:rPr>
        <w:t xml:space="preserve">las empresas </w:t>
      </w:r>
      <w:r w:rsidR="00446AA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y, por lo tanto, para reforzar la confianza de los consumidores en los mercados mediante formas "simples, rápidas y </w:t>
      </w:r>
      <w:r w:rsidR="00687815" w:rsidRPr="00222833">
        <w:rPr>
          <w:rFonts w:ascii="Times New Roman" w:hAnsi="Times New Roman" w:cs="Times New Roman"/>
          <w:sz w:val="24"/>
          <w:szCs w:val="24"/>
          <w:lang w:val="es-ES"/>
        </w:rPr>
        <w:t>económicas" de resolver litigios en materia de consumo</w:t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25FA3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4"/>
      </w:r>
      <w:r w:rsidR="00C25FA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7815" w:rsidRPr="00222833">
        <w:rPr>
          <w:rFonts w:ascii="Times New Roman" w:hAnsi="Times New Roman" w:cs="Times New Roman"/>
          <w:sz w:val="24"/>
          <w:szCs w:val="24"/>
          <w:lang w:val="es-ES"/>
        </w:rPr>
        <w:t>Al amparo de la Directiva RLC de 2013</w:t>
      </w:r>
      <w:r w:rsidR="005A422F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5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7815" w:rsidRPr="00222833">
        <w:rPr>
          <w:rFonts w:ascii="Times New Roman" w:hAnsi="Times New Roman" w:cs="Times New Roman"/>
          <w:sz w:val="24"/>
          <w:szCs w:val="24"/>
          <w:lang w:val="es-ES"/>
        </w:rPr>
        <w:t>la UE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0C6F" w:rsidRPr="00222833">
        <w:rPr>
          <w:rFonts w:ascii="Times New Roman" w:hAnsi="Times New Roman" w:cs="Times New Roman"/>
          <w:sz w:val="24"/>
          <w:szCs w:val="24"/>
          <w:lang w:val="es-ES"/>
        </w:rPr>
        <w:t>ha creado una completa red de organismos de RLC con capacidad para decidir toda clase de conflictos en materia de contratos, con exclusión (por ahora) de los litigios sobre sanidad, educación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6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0C6F" w:rsidRPr="0022283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3753C">
        <w:rPr>
          <w:rFonts w:ascii="Times New Roman" w:hAnsi="Times New Roman" w:cs="Times New Roman"/>
          <w:sz w:val="24"/>
          <w:szCs w:val="24"/>
          <w:lang w:val="es-ES"/>
        </w:rPr>
        <w:t>evidentemente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20C6F" w:rsidRPr="00222833">
        <w:rPr>
          <w:rFonts w:ascii="Times New Roman" w:hAnsi="Times New Roman" w:cs="Times New Roman"/>
          <w:sz w:val="24"/>
          <w:szCs w:val="24"/>
          <w:lang w:val="es-ES"/>
        </w:rPr>
        <w:t>organismos públicos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20C6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Las autoridades nacionales dictan normas aplicables a las entidades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3D39" w:rsidRPr="00222833">
        <w:rPr>
          <w:rFonts w:ascii="Times New Roman" w:hAnsi="Times New Roman" w:cs="Times New Roman"/>
          <w:sz w:val="24"/>
          <w:szCs w:val="24"/>
          <w:lang w:val="es-ES"/>
        </w:rPr>
        <w:t>de acuerdo con ciertos criterios mínimos</w:t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66109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7"/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3D39" w:rsidRPr="00222833">
        <w:rPr>
          <w:rFonts w:ascii="Times New Roman" w:hAnsi="Times New Roman" w:cs="Times New Roman"/>
          <w:sz w:val="24"/>
          <w:szCs w:val="24"/>
          <w:lang w:val="es-ES"/>
        </w:rPr>
        <w:t>Los comerciantes que pertenecen a entidades de</w:t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3D39" w:rsidRPr="00222833">
        <w:rPr>
          <w:rFonts w:ascii="Times New Roman" w:hAnsi="Times New Roman" w:cs="Times New Roman"/>
          <w:sz w:val="24"/>
          <w:szCs w:val="24"/>
          <w:lang w:val="es-ES"/>
        </w:rPr>
        <w:t>deben publicar información que los identifique y notificarla a los consumidores que planteen alguna disputa</w:t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66109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8"/>
      </w:r>
      <w:r w:rsidR="00F6610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3D39" w:rsidRPr="00222833">
        <w:rPr>
          <w:rFonts w:ascii="Times New Roman" w:hAnsi="Times New Roman" w:cs="Times New Roman"/>
          <w:sz w:val="24"/>
          <w:szCs w:val="24"/>
          <w:lang w:val="es-ES"/>
        </w:rPr>
        <w:t>Desde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2016, </w:t>
      </w:r>
      <w:r w:rsidR="00F025F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83D3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plataforma paneuropea </w:t>
      </w:r>
      <w:r w:rsidR="00F025F0">
        <w:rPr>
          <w:rFonts w:ascii="Times New Roman" w:hAnsi="Times New Roman" w:cs="Times New Roman"/>
          <w:sz w:val="24"/>
          <w:szCs w:val="24"/>
          <w:lang w:val="es-ES"/>
        </w:rPr>
        <w:t>de resolución de conflictos en línea facilita</w:t>
      </w:r>
      <w:r w:rsidR="00483D3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canalización de las reclamaciones </w:t>
      </w:r>
      <w:r w:rsidR="00C740D9" w:rsidRPr="00222833">
        <w:rPr>
          <w:rFonts w:ascii="Times New Roman" w:hAnsi="Times New Roman" w:cs="Times New Roman"/>
          <w:sz w:val="24"/>
          <w:szCs w:val="24"/>
          <w:lang w:val="es-ES"/>
        </w:rPr>
        <w:t>transfronterizas hacia la entidad de RLC competente en cada Estado Miembro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9"/>
      </w:r>
    </w:p>
    <w:p w14:paraId="3493FE6C" w14:textId="77777777" w:rsidR="00F66109" w:rsidRPr="00222833" w:rsidRDefault="00F66109" w:rsidP="00F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17A0F28" w14:textId="0ED292A7" w:rsidR="00E86FB4" w:rsidRPr="00222833" w:rsidRDefault="00F025F0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Atendidas</w:t>
      </w:r>
      <w:r w:rsidR="00C740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las diferencias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estructurales y de funcionamiento</w:t>
      </w:r>
      <w:r w:rsidR="00C740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entre los organismos de RLC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son necesarias reformas </w:t>
      </w:r>
      <w:r w:rsidR="00C740D9" w:rsidRPr="00222833">
        <w:rPr>
          <w:rFonts w:ascii="Times New Roman" w:hAnsi="Times New Roman" w:cs="Times New Roman"/>
          <w:sz w:val="24"/>
          <w:szCs w:val="24"/>
          <w:lang w:val="es-ES"/>
        </w:rPr>
        <w:t>en casi todos los países.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40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Asimismo, la necesidad de poner en marcha la Directiva brinda una oportunidad a los gobiernos y a los organismos de RLC </w:t>
      </w:r>
      <w:r w:rsidR="00BE0A0F" w:rsidRPr="00222833">
        <w:rPr>
          <w:rFonts w:ascii="Times New Roman" w:hAnsi="Times New Roman" w:cs="Times New Roman"/>
          <w:sz w:val="24"/>
          <w:szCs w:val="24"/>
          <w:lang w:val="es-ES"/>
        </w:rPr>
        <w:t>para revisar y modernizar sus estructuras y su funcionamiento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6470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¿Cómo debería acometerse la tarea para obtener el máximo beneficio para los sistemas de RLC? </w:t>
      </w:r>
    </w:p>
    <w:p w14:paraId="12A420BD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586637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7C3B0B1" w14:textId="2119FA20" w:rsidR="002732DD" w:rsidRPr="00222833" w:rsidRDefault="00351D93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Objetivos de los sistemas de</w:t>
      </w:r>
      <w:r w:rsidR="002732DD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b/>
          <w:sz w:val="24"/>
          <w:szCs w:val="24"/>
          <w:lang w:val="es-ES"/>
        </w:rPr>
        <w:t>RLC</w:t>
      </w:r>
      <w:r w:rsidR="002732DD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195E4C19" w14:textId="77777777" w:rsidR="002732DD" w:rsidRPr="00222833" w:rsidRDefault="002732DD" w:rsidP="0027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19A0DBC" w14:textId="7A0DA95A" w:rsidR="002732DD" w:rsidRPr="00222833" w:rsidRDefault="0003429A" w:rsidP="0027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la hora de</w:t>
      </w:r>
      <w:r w:rsidR="0046470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diseñar</w:t>
      </w:r>
      <w:r w:rsidR="0046470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un sistema nacional de RLC </w:t>
      </w:r>
      <w:r>
        <w:rPr>
          <w:rFonts w:ascii="Times New Roman" w:hAnsi="Times New Roman" w:cs="Times New Roman"/>
          <w:sz w:val="24"/>
          <w:szCs w:val="24"/>
          <w:lang w:val="es-ES"/>
        </w:rPr>
        <w:t>un aspecto crucial a tener en cuenta es</w:t>
      </w:r>
      <w:r w:rsidR="002278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el de si debe centrarse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únicamente </w:t>
      </w:r>
      <w:r w:rsidR="002278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resolver litigios o </w:t>
      </w:r>
      <w:r>
        <w:rPr>
          <w:rFonts w:ascii="Times New Roman" w:hAnsi="Times New Roman" w:cs="Times New Roman"/>
          <w:sz w:val="24"/>
          <w:szCs w:val="24"/>
          <w:lang w:val="es-ES"/>
        </w:rPr>
        <w:t>desempeñar</w:t>
      </w:r>
      <w:r w:rsidR="002278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otras funciones de </w:t>
      </w:r>
      <w:r>
        <w:rPr>
          <w:rFonts w:ascii="Times New Roman" w:hAnsi="Times New Roman" w:cs="Times New Roman"/>
          <w:sz w:val="24"/>
          <w:szCs w:val="24"/>
          <w:lang w:val="es-ES"/>
        </w:rPr>
        <w:t>fomento del</w:t>
      </w:r>
      <w:r w:rsidR="0022785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efectivo funcionamiento del mercado</w:t>
      </w:r>
      <w:r w:rsidR="001A368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sistemas de </w:t>
      </w:r>
      <w:r w:rsidR="00BA1E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ombudsman 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vigentes en algunos Estados Miembros han demostrado </w:t>
      </w:r>
      <w:r w:rsidR="00BA1E7B">
        <w:rPr>
          <w:rFonts w:ascii="Times New Roman" w:hAnsi="Times New Roman" w:cs="Times New Roman"/>
          <w:sz w:val="24"/>
          <w:szCs w:val="24"/>
          <w:lang w:val="es-ES"/>
        </w:rPr>
        <w:t>su eficacia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1E7B">
        <w:rPr>
          <w:rFonts w:ascii="Times New Roman" w:hAnsi="Times New Roman" w:cs="Times New Roman"/>
          <w:sz w:val="24"/>
          <w:szCs w:val="24"/>
          <w:lang w:val="es-ES"/>
        </w:rPr>
        <w:t xml:space="preserve">en el 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>cumpli</w:t>
      </w:r>
      <w:r w:rsidR="00BA1E7B">
        <w:rPr>
          <w:rFonts w:ascii="Times New Roman" w:hAnsi="Times New Roman" w:cs="Times New Roman"/>
          <w:sz w:val="24"/>
          <w:szCs w:val="24"/>
          <w:lang w:val="es-ES"/>
        </w:rPr>
        <w:t xml:space="preserve">miento de 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otras funciones, además 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de la resolución de </w:t>
      </w:r>
      <w:r w:rsidR="00BA1E7B">
        <w:rPr>
          <w:rFonts w:ascii="Times New Roman" w:hAnsi="Times New Roman" w:cs="Times New Roman"/>
          <w:sz w:val="24"/>
          <w:szCs w:val="24"/>
          <w:lang w:val="es-ES"/>
        </w:rPr>
        <w:t>conflictos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Cuando los sistemas de RLC se plantean teniendo en mente esas funciones más amplias, dejan de considerarse meras alternativas a los tribunales </w:t>
      </w:r>
      <w:r w:rsidR="006724E8">
        <w:rPr>
          <w:rFonts w:ascii="Times New Roman" w:hAnsi="Times New Roman" w:cs="Times New Roman"/>
          <w:sz w:val="24"/>
          <w:szCs w:val="24"/>
          <w:lang w:val="es-ES"/>
        </w:rPr>
        <w:t>y se erigen en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5FA2" w:rsidRPr="00222833">
        <w:rPr>
          <w:rFonts w:ascii="Times New Roman" w:hAnsi="Times New Roman" w:cs="Times New Roman"/>
          <w:sz w:val="24"/>
          <w:szCs w:val="24"/>
          <w:lang w:val="es-ES"/>
        </w:rPr>
        <w:t>componentes</w:t>
      </w:r>
      <w:r w:rsidR="000F564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esenciales </w:t>
      </w:r>
      <w:r w:rsidR="00875FA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del sistema de regulación del mercado. </w:t>
      </w:r>
    </w:p>
    <w:p w14:paraId="0D591C41" w14:textId="77777777" w:rsidR="001A3684" w:rsidRPr="00222833" w:rsidRDefault="001A3684" w:rsidP="0027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888BB8" w14:textId="73CF47AC" w:rsidR="001A3684" w:rsidRPr="00222833" w:rsidRDefault="006724E8" w:rsidP="001A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75FA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os defensores del consumidor </w:t>
      </w:r>
      <w:r w:rsidR="004B70A6" w:rsidRPr="00222833">
        <w:rPr>
          <w:rFonts w:ascii="Times New Roman" w:hAnsi="Times New Roman" w:cs="Times New Roman"/>
          <w:sz w:val="24"/>
          <w:szCs w:val="24"/>
          <w:lang w:val="es-ES"/>
        </w:rPr>
        <w:t>pueden desempeñar las siguientes cinco funciones</w:t>
      </w:r>
      <w:r w:rsidR="001A3684" w:rsidRPr="00222833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1A3684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40"/>
      </w:r>
    </w:p>
    <w:p w14:paraId="6D64C22C" w14:textId="5388A3D8" w:rsidR="001A3684" w:rsidRPr="00222833" w:rsidRDefault="004B70A6" w:rsidP="001A36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Información a los consumidores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1A368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6724E8">
        <w:rPr>
          <w:rFonts w:ascii="Times New Roman" w:hAnsi="Times New Roman" w:cs="Times New Roman"/>
          <w:sz w:val="24"/>
          <w:szCs w:val="24"/>
          <w:lang w:val="es-ES"/>
        </w:rPr>
        <w:t xml:space="preserve"> servicio de</w:t>
      </w:r>
      <w:r w:rsidR="007F3C4C">
        <w:rPr>
          <w:rFonts w:ascii="Times New Roman" w:hAnsi="Times New Roman" w:cs="Times New Roman"/>
          <w:sz w:val="24"/>
          <w:szCs w:val="24"/>
          <w:lang w:val="es-ES"/>
        </w:rPr>
        <w:t xml:space="preserve"> primer recurso y de filtraje</w:t>
      </w:r>
      <w:r w:rsidR="001A368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124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resolviendo </w:t>
      </w:r>
      <w:r w:rsidR="007F3C4C">
        <w:rPr>
          <w:rFonts w:ascii="Times New Roman" w:hAnsi="Times New Roman" w:cs="Times New Roman"/>
          <w:sz w:val="24"/>
          <w:szCs w:val="24"/>
          <w:lang w:val="es-ES"/>
        </w:rPr>
        <w:t>con celeridad</w:t>
      </w:r>
      <w:r w:rsidR="00BB124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dudas </w:t>
      </w:r>
      <w:r w:rsidR="00180A4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planteadas por los consumidores e impidiendo la pérdida de tiempo en temas inútiles. </w:t>
      </w:r>
    </w:p>
    <w:p w14:paraId="4D79F1E4" w14:textId="5D8394B1" w:rsidR="001A3684" w:rsidRPr="00222833" w:rsidRDefault="00180A42" w:rsidP="001A36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Resolución de conflictos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A41A4D9" w14:textId="0A757FA6" w:rsidR="001A3684" w:rsidRPr="00222833" w:rsidRDefault="00180A42" w:rsidP="001A36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Agregación de datos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combinando los datos de cada caso o contacto recibido para obtener una visión </w:t>
      </w:r>
      <w:r w:rsidR="003024C5">
        <w:rPr>
          <w:rFonts w:ascii="Times New Roman" w:hAnsi="Times New Roman" w:cs="Times New Roman"/>
          <w:sz w:val="24"/>
          <w:szCs w:val="24"/>
          <w:lang w:val="es-ES"/>
        </w:rPr>
        <w:t>de conjunto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las condiciones comerciales, infracciones, comerciantes y tendencias.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35DFDB0" w14:textId="365FE335" w:rsidR="001A3684" w:rsidRPr="00222833" w:rsidRDefault="00967F97" w:rsidP="001A36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Publicación de los datos agregados, como</w:t>
      </w:r>
      <w:r w:rsidR="003024C5">
        <w:rPr>
          <w:rFonts w:ascii="Times New Roman" w:hAnsi="Times New Roman" w:cs="Times New Roman"/>
          <w:sz w:val="24"/>
          <w:szCs w:val="24"/>
          <w:lang w:val="es-ES"/>
        </w:rPr>
        <w:t xml:space="preserve"> comentarios</w:t>
      </w:r>
      <w:r w:rsidR="001A368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destinado</w:t>
      </w:r>
      <w:r w:rsidR="003024C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 los comerciantes/sectores e información a consumidores, competidores, reguladores e inversores para apoyar el mantenimiento de un</w:t>
      </w:r>
      <w:r w:rsidR="003024C5">
        <w:rPr>
          <w:rFonts w:ascii="Times New Roman" w:hAnsi="Times New Roman" w:cs="Times New Roman"/>
          <w:sz w:val="24"/>
          <w:szCs w:val="24"/>
          <w:lang w:val="es-ES"/>
        </w:rPr>
        <w:t xml:space="preserve"> mercado equilibrado y justo.</w:t>
      </w:r>
      <w:r w:rsidR="001A368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7DA0F25" w14:textId="408C8922" w:rsidR="001A3684" w:rsidRPr="00222833" w:rsidRDefault="00343F37" w:rsidP="001A36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Mejora del comportamiento del mercado, lo que puede alcanzarse mediante publicación pero también a</w:t>
      </w:r>
      <w:r w:rsidR="009723E3">
        <w:rPr>
          <w:rFonts w:ascii="Times New Roman" w:hAnsi="Times New Roman" w:cs="Times New Roman"/>
          <w:sz w:val="24"/>
          <w:szCs w:val="24"/>
          <w:lang w:val="es-ES"/>
        </w:rPr>
        <w:t xml:space="preserve"> través de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73BE" w:rsidRPr="00222833">
        <w:rPr>
          <w:rFonts w:ascii="Times New Roman" w:hAnsi="Times New Roman" w:cs="Times New Roman"/>
          <w:sz w:val="24"/>
          <w:szCs w:val="24"/>
          <w:lang w:val="es-ES"/>
        </w:rPr>
        <w:t>una acción normativa o a una acción directa por parte del organismo de RAL</w:t>
      </w:r>
      <w:r w:rsidR="001A368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A3684" w:rsidRPr="0022283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41"/>
      </w:r>
    </w:p>
    <w:p w14:paraId="1E0DB70C" w14:textId="77777777" w:rsidR="002732DD" w:rsidRPr="00222833" w:rsidRDefault="002732DD" w:rsidP="0027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50D4467" w14:textId="65364C67" w:rsidR="002732DD" w:rsidRPr="00222833" w:rsidRDefault="003173BE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Los tribunales y los sistemas de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RAL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basados en el arbitraje únicamente abordan la función 2ª. </w:t>
      </w:r>
      <w:r w:rsidR="00B426A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servicios de información o de reclamaciones adscritos a los </w:t>
      </w:r>
      <w:r w:rsidR="00F3228D" w:rsidRPr="00222833">
        <w:rPr>
          <w:rFonts w:ascii="Times New Roman" w:hAnsi="Times New Roman" w:cs="Times New Roman"/>
          <w:sz w:val="24"/>
          <w:szCs w:val="24"/>
          <w:lang w:val="es-ES"/>
        </w:rPr>
        <w:t>organismos públicos pueden llevar a cabo la mayoría de esas funciones, pero hay datos empíricos que demuestran que el número de consumidores que se dirigen a defensores del consumidor independientes es mayor que el que recurre a los organismos públicos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14F5A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2"/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228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Varios expertos consideran que los organismos de RLC deberían desgajarse de las autoridades normativas estatales para </w:t>
      </w:r>
      <w:r w:rsidR="009723E3">
        <w:rPr>
          <w:rFonts w:ascii="Times New Roman" w:hAnsi="Times New Roman" w:cs="Times New Roman"/>
          <w:sz w:val="24"/>
          <w:szCs w:val="24"/>
          <w:lang w:val="es-ES"/>
        </w:rPr>
        <w:t>demostrar</w:t>
      </w:r>
      <w:r w:rsidR="00F3228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su independencia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723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0AC8478" w14:textId="77777777" w:rsidR="00914F5A" w:rsidRPr="00222833" w:rsidRDefault="00914F5A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905E5BC" w14:textId="77777777" w:rsidR="002732DD" w:rsidRPr="00222833" w:rsidRDefault="002732DD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2F5F613" w14:textId="61781669" w:rsidR="00E54E78" w:rsidRPr="00222833" w:rsidRDefault="006928FF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Estructuras</w:t>
      </w:r>
      <w:r w:rsidR="00B55BE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nacionales de</w:t>
      </w:r>
      <w:r w:rsidR="00E54E7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b/>
          <w:sz w:val="24"/>
          <w:szCs w:val="24"/>
          <w:lang w:val="es-ES"/>
        </w:rPr>
        <w:t>RLC</w:t>
      </w:r>
      <w:r w:rsidR="00E54E7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B55BE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hacia la cobertura </w:t>
      </w:r>
      <w:r w:rsidR="004877A7">
        <w:rPr>
          <w:rFonts w:ascii="Times New Roman" w:hAnsi="Times New Roman" w:cs="Times New Roman"/>
          <w:b/>
          <w:sz w:val="24"/>
          <w:szCs w:val="24"/>
          <w:lang w:val="es-ES"/>
        </w:rPr>
        <w:t>integral</w:t>
      </w:r>
    </w:p>
    <w:p w14:paraId="50EDE92E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175EFB" w14:textId="55B53058" w:rsidR="00E54E78" w:rsidRPr="00222833" w:rsidRDefault="00B55BE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Estados Miembros tienden a disponer de </w:t>
      </w:r>
      <w:r w:rsidR="006928FF">
        <w:rPr>
          <w:rFonts w:ascii="Times New Roman" w:hAnsi="Times New Roman" w:cs="Times New Roman"/>
          <w:sz w:val="24"/>
          <w:szCs w:val="24"/>
          <w:lang w:val="es-ES"/>
        </w:rPr>
        <w:t>estructuras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 modelos nacionales de RLC diversos.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 continuación se ofrecen algunas propuestas de evolución de tales modelos hacia la cobertura </w:t>
      </w:r>
      <w:r w:rsidR="00F97BD6">
        <w:rPr>
          <w:rFonts w:ascii="Times New Roman" w:hAnsi="Times New Roman" w:cs="Times New Roman"/>
          <w:sz w:val="24"/>
          <w:szCs w:val="24"/>
          <w:lang w:val="es-ES"/>
        </w:rPr>
        <w:t>integral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5A391C8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1C9440" w14:textId="7CA1AC14" w:rsidR="00E54E78" w:rsidRPr="00222833" w:rsidRDefault="009C5455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El diseño más sencillo de sistema nacional de RLC (por ejemplo, en un </w:t>
      </w:r>
      <w:r w:rsidR="0059403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país que actualmente no dispone de un sistema de RLC especialmente </w:t>
      </w:r>
      <w:r w:rsidR="0001469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avanzado y cuya población es más bien pequeña) </w:t>
      </w:r>
      <w:r w:rsidR="002D112A" w:rsidRPr="00222833">
        <w:rPr>
          <w:rFonts w:ascii="Times New Roman" w:hAnsi="Times New Roman" w:cs="Times New Roman"/>
          <w:sz w:val="24"/>
          <w:szCs w:val="24"/>
          <w:lang w:val="es-ES"/>
        </w:rPr>
        <w:t>pasa por consid</w:t>
      </w:r>
      <w:r w:rsidR="00350DE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D112A" w:rsidRPr="00222833">
        <w:rPr>
          <w:rFonts w:ascii="Times New Roman" w:hAnsi="Times New Roman" w:cs="Times New Roman"/>
          <w:sz w:val="24"/>
          <w:szCs w:val="24"/>
          <w:lang w:val="es-ES"/>
        </w:rPr>
        <w:t>rar si el sistema en cuestión</w:t>
      </w:r>
      <w:r w:rsidR="007F3A0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debe reca</w:t>
      </w:r>
      <w:r w:rsidR="002D112A" w:rsidRPr="00222833">
        <w:rPr>
          <w:rFonts w:ascii="Times New Roman" w:hAnsi="Times New Roman" w:cs="Times New Roman"/>
          <w:sz w:val="24"/>
          <w:szCs w:val="24"/>
          <w:lang w:val="es-ES"/>
        </w:rPr>
        <w:t>er en una entidad nacional integral.</w:t>
      </w:r>
      <w:r w:rsidR="007F3A0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ventaja de esta estructura es su simplicidad</w:t>
      </w:r>
      <w:r w:rsidR="000639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97BD6">
        <w:rPr>
          <w:rFonts w:ascii="Times New Roman" w:hAnsi="Times New Roman" w:cs="Times New Roman"/>
          <w:sz w:val="24"/>
          <w:szCs w:val="24"/>
          <w:lang w:val="es-ES"/>
        </w:rPr>
        <w:t>ya que facilita</w:t>
      </w:r>
      <w:r w:rsidR="000639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el acceso a los consumidores</w:t>
      </w:r>
      <w:r w:rsidR="007F3A0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6054" w:rsidRPr="00222833">
        <w:rPr>
          <w:rFonts w:ascii="Times New Roman" w:hAnsi="Times New Roman" w:cs="Times New Roman"/>
          <w:sz w:val="24"/>
          <w:szCs w:val="24"/>
          <w:lang w:val="es-ES"/>
        </w:rPr>
        <w:t>(Figura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1). </w:t>
      </w:r>
      <w:r w:rsidR="00566FE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Sin embargo, resulta más difícil para los organismos legales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393A" w:rsidRPr="00222833">
        <w:rPr>
          <w:rFonts w:ascii="Times New Roman" w:hAnsi="Times New Roman" w:cs="Times New Roman"/>
          <w:sz w:val="24"/>
          <w:szCs w:val="24"/>
          <w:lang w:val="es-ES"/>
        </w:rPr>
        <w:t>evolucionar y adaptarse.</w:t>
      </w:r>
      <w:r w:rsidR="00566FE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8D7B6FA" w14:textId="43F67DE2" w:rsidR="002E0A8B" w:rsidRPr="00222833" w:rsidRDefault="00E54E78" w:rsidP="007068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69355C8" w14:textId="77777777" w:rsidR="002E0A8B" w:rsidRPr="00222833" w:rsidRDefault="002E0A8B" w:rsidP="00942253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4EC601" w14:textId="77777777" w:rsidR="002E0A8B" w:rsidRPr="00222833" w:rsidRDefault="002E0A8B" w:rsidP="00942253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7EADFBB" w14:textId="537ECA88" w:rsidR="00E54E78" w:rsidRPr="00222833" w:rsidRDefault="00706835" w:rsidP="00942253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Figura</w:t>
      </w:r>
      <w:r w:rsidR="00E54E7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1: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49F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Técnica de la </w:t>
      </w:r>
      <w:r w:rsidR="00151FBF">
        <w:rPr>
          <w:rFonts w:ascii="Times New Roman" w:hAnsi="Times New Roman" w:cs="Times New Roman"/>
          <w:sz w:val="24"/>
          <w:szCs w:val="24"/>
          <w:lang w:val="es-ES"/>
        </w:rPr>
        <w:t>pirámide</w:t>
      </w:r>
      <w:r w:rsidR="00496BB1">
        <w:rPr>
          <w:rFonts w:ascii="Times New Roman" w:hAnsi="Times New Roman" w:cs="Times New Roman"/>
          <w:sz w:val="24"/>
          <w:szCs w:val="24"/>
          <w:lang w:val="es-ES"/>
        </w:rPr>
        <w:t xml:space="preserve"> escalonada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4ABCB55" w14:textId="1574B0BA" w:rsidR="00E54E78" w:rsidRPr="00222833" w:rsidRDefault="00706835" w:rsidP="00E54E7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591E1" wp14:editId="299B4017">
                <wp:simplePos x="0" y="0"/>
                <wp:positionH relativeFrom="column">
                  <wp:posOffset>1513703</wp:posOffset>
                </wp:positionH>
                <wp:positionV relativeFrom="paragraph">
                  <wp:posOffset>20389</wp:posOffset>
                </wp:positionV>
                <wp:extent cx="2614295" cy="2016691"/>
                <wp:effectExtent l="0" t="0" r="27305" b="15875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4295" cy="2016691"/>
                        </a:xfrm>
                        <a:prstGeom prst="triangle">
                          <a:avLst>
                            <a:gd name="adj" fmla="val 4876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94762" w14:textId="5B5AD299" w:rsidR="00120EA9" w:rsidRPr="00E45B8F" w:rsidRDefault="00120EA9" w:rsidP="00E54E78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Resolución</w:t>
                            </w:r>
                            <w:proofErr w:type="spellEnd"/>
                          </w:p>
                          <w:p w14:paraId="14F4398B" w14:textId="50DD11BC" w:rsidR="00120EA9" w:rsidRPr="00E45B8F" w:rsidRDefault="00120EA9" w:rsidP="00E54E7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vinculante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o</w:t>
                            </w:r>
                            <w:r w:rsidRPr="00E45B8F">
                              <w:rPr>
                                <w:sz w:val="12"/>
                                <w:szCs w:val="12"/>
                              </w:rPr>
                              <w:t xml:space="preserve"> no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vinculante</w:t>
                            </w:r>
                            <w:proofErr w:type="spellEnd"/>
                            <w:r w:rsidRPr="00E45B8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8505326" w14:textId="77777777" w:rsidR="00120EA9" w:rsidRDefault="00120EA9" w:rsidP="00E54E78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92C7D9" w14:textId="58BD6641" w:rsidR="00120EA9" w:rsidRDefault="00120EA9" w:rsidP="00E54E7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Mediación</w:t>
                            </w:r>
                            <w:proofErr w:type="spellEnd"/>
                            <w:r w:rsidRPr="00E45B8F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conciliación</w:t>
                            </w:r>
                            <w:proofErr w:type="spellEnd"/>
                          </w:p>
                          <w:p w14:paraId="6609B103" w14:textId="77777777" w:rsidR="00120EA9" w:rsidRPr="00E45B8F" w:rsidRDefault="00120EA9" w:rsidP="00E54E7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D8B07C" w14:textId="0016EABE" w:rsidR="00120EA9" w:rsidRPr="00E45B8F" w:rsidRDefault="00120EA9" w:rsidP="00E54E78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Remisión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a un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tercero</w:t>
                            </w:r>
                            <w:proofErr w:type="spellEnd"/>
                          </w:p>
                          <w:p w14:paraId="3FF74A35" w14:textId="6F0049D7" w:rsidR="00120EA9" w:rsidRPr="00E45B8F" w:rsidRDefault="00120EA9" w:rsidP="00E54E7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Selección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triaje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CE69FD6" w14:textId="7FE84A6B" w:rsidR="00120EA9" w:rsidRPr="00E45B8F" w:rsidRDefault="00120EA9" w:rsidP="00E54E78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directo</w:t>
                            </w:r>
                            <w:proofErr w:type="spellEnd"/>
                            <w:r w:rsidRPr="00E45B8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consumidor</w:t>
                            </w:r>
                            <w:r w:rsidRPr="00E45B8F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comerciante</w:t>
                            </w:r>
                            <w:proofErr w:type="spellEnd"/>
                            <w:r w:rsidRPr="00E45B8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68E7A49" w14:textId="77777777" w:rsidR="00120EA9" w:rsidRPr="00E45B8F" w:rsidRDefault="00120EA9" w:rsidP="00E54E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E1591E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119.2pt;margin-top:1.6pt;width:205.85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" adj="10534" fillcolor="window" strokecolor="#f79646" strokeweight="2pt">
                <v:path arrowok="t"/>
                <v:textbox>
                  <w:txbxContent>
                    <w:p w14:paraId="2EB94762" w14:textId="5B5AD299" w:rsidR="00120EA9" w:rsidRPr="00E45B8F" w:rsidRDefault="00120EA9" w:rsidP="00E54E78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Resolución</w:t>
                      </w:r>
                    </w:p>
                    <w:p w14:paraId="14F4398B" w14:textId="50DD11BC" w:rsidR="00120EA9" w:rsidRPr="00E45B8F" w:rsidRDefault="00120EA9" w:rsidP="00E54E7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vinculante o</w:t>
                      </w:r>
                      <w:r w:rsidRPr="00E45B8F">
                        <w:rPr>
                          <w:sz w:val="12"/>
                          <w:szCs w:val="12"/>
                        </w:rPr>
                        <w:t xml:space="preserve"> no</w:t>
                      </w:r>
                      <w:r>
                        <w:rPr>
                          <w:sz w:val="12"/>
                          <w:szCs w:val="12"/>
                        </w:rPr>
                        <w:t xml:space="preserve"> vinculante</w:t>
                      </w:r>
                      <w:r w:rsidRPr="00E45B8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78505326" w14:textId="77777777" w:rsidR="00120EA9" w:rsidRDefault="00120EA9" w:rsidP="00E54E78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C92C7D9" w14:textId="58BD6641" w:rsidR="00120EA9" w:rsidRDefault="00120EA9" w:rsidP="00E54E7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Mediación</w:t>
                      </w:r>
                      <w:r w:rsidRPr="00E45B8F">
                        <w:rPr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sz w:val="12"/>
                          <w:szCs w:val="12"/>
                        </w:rPr>
                        <w:t>conciliación</w:t>
                      </w:r>
                    </w:p>
                    <w:p w14:paraId="6609B103" w14:textId="77777777" w:rsidR="00120EA9" w:rsidRPr="00E45B8F" w:rsidRDefault="00120EA9" w:rsidP="00E54E7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sz w:val="12"/>
                          <w:szCs w:val="12"/>
                        </w:rPr>
                      </w:pPr>
                    </w:p>
                    <w:p w14:paraId="1CD8B07C" w14:textId="0016EABE" w:rsidR="00120EA9" w:rsidRPr="00E45B8F" w:rsidRDefault="00120EA9" w:rsidP="00E54E78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Remisión a un tercero</w:t>
                      </w:r>
                    </w:p>
                    <w:p w14:paraId="3FF74A35" w14:textId="6F0049D7" w:rsidR="00120EA9" w:rsidRPr="00E45B8F" w:rsidRDefault="00120EA9" w:rsidP="00E54E7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Selección (triaje)</w:t>
                      </w:r>
                    </w:p>
                    <w:p w14:paraId="0CE69FD6" w14:textId="7FE84A6B" w:rsidR="00120EA9" w:rsidRPr="00E45B8F" w:rsidRDefault="00120EA9" w:rsidP="00E54E78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Contacto directo</w:t>
                      </w:r>
                      <w:r w:rsidRPr="00E45B8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consumidor</w:t>
                      </w:r>
                      <w:r w:rsidRPr="00E45B8F"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sz w:val="12"/>
                          <w:szCs w:val="12"/>
                        </w:rPr>
                        <w:t>comerciante</w:t>
                      </w:r>
                      <w:r w:rsidRPr="00E45B8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068E7A49" w14:textId="77777777" w:rsidR="00120EA9" w:rsidRPr="00E45B8F" w:rsidRDefault="00120EA9" w:rsidP="00E54E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D8797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657A6AA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A19682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117CF64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97C2B2F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B918DA7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9F428DE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D0A763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DB25987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2184B5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ECE68D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9557E0C" w14:textId="47C6C6F6" w:rsidR="00E54E78" w:rsidRPr="00222833" w:rsidRDefault="009909DE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 todo, es importante que las entidades de RLC dispongan de acceso a conocimientos especializados en áreas concretas, cosa que apunta a la posibilidad de externalizar funciones de RLC a organismos especializados situados en otros Estados Miembros. </w:t>
      </w:r>
      <w:r w:rsidR="0015416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Así, el </w:t>
      </w:r>
      <w:proofErr w:type="spellStart"/>
      <w:r w:rsidR="00E54E78" w:rsidRPr="00222833">
        <w:rPr>
          <w:rFonts w:ascii="Times New Roman" w:hAnsi="Times New Roman" w:cs="Times New Roman"/>
          <w:i/>
          <w:sz w:val="24"/>
          <w:szCs w:val="24"/>
          <w:lang w:val="es-ES"/>
        </w:rPr>
        <w:t>Financial</w:t>
      </w:r>
      <w:proofErr w:type="spellEnd"/>
      <w:r w:rsidR="00E54E78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Ombudsman</w:t>
      </w:r>
      <w:r w:rsidR="0015416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del Reino Unido e Irlanda, el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54E78" w:rsidRPr="00222833">
        <w:rPr>
          <w:rFonts w:ascii="Times New Roman" w:hAnsi="Times New Roman" w:cs="Times New Roman"/>
          <w:i/>
          <w:sz w:val="24"/>
          <w:szCs w:val="24"/>
          <w:lang w:val="es-ES"/>
        </w:rPr>
        <w:t>Energy</w:t>
      </w:r>
      <w:proofErr w:type="spellEnd"/>
      <w:r w:rsidR="00E54E78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and Telecom Ombudsman</w:t>
      </w:r>
      <w:r w:rsidR="0015416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del Reino Unido, el </w:t>
      </w:r>
      <w:r w:rsidR="0006393A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Ombudsman </w:t>
      </w:r>
      <w:r w:rsidR="000639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 energía </w:t>
      </w:r>
      <w:r w:rsidR="0015416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Bélgica, </w:t>
      </w:r>
      <w:r w:rsidR="00D45E5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proofErr w:type="spellStart"/>
      <w:r w:rsidR="00F42AFE" w:rsidRPr="00222833">
        <w:rPr>
          <w:rFonts w:ascii="Times New Roman" w:hAnsi="Times New Roman" w:cs="Times New Roman"/>
          <w:i/>
          <w:sz w:val="24"/>
          <w:szCs w:val="24"/>
          <w:lang w:val="es-ES"/>
        </w:rPr>
        <w:t>Agència</w:t>
      </w:r>
      <w:proofErr w:type="spellEnd"/>
      <w:r w:rsidR="00F42AFE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Catalana del </w:t>
      </w:r>
      <w:proofErr w:type="spellStart"/>
      <w:r w:rsidR="00F42AFE" w:rsidRPr="00222833">
        <w:rPr>
          <w:rFonts w:ascii="Times New Roman" w:hAnsi="Times New Roman" w:cs="Times New Roman"/>
          <w:i/>
          <w:sz w:val="24"/>
          <w:szCs w:val="24"/>
          <w:lang w:val="es-ES"/>
        </w:rPr>
        <w:t>Consum</w:t>
      </w:r>
      <w:proofErr w:type="spellEnd"/>
      <w:r w:rsidR="00D45E5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 Catalunya, </w:t>
      </w:r>
      <w:r w:rsidR="000639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06393A" w:rsidRPr="00222833">
        <w:rPr>
          <w:rFonts w:ascii="Times New Roman" w:hAnsi="Times New Roman" w:cs="Times New Roman"/>
          <w:i/>
          <w:sz w:val="24"/>
          <w:szCs w:val="24"/>
          <w:lang w:val="es-ES"/>
        </w:rPr>
        <w:t>Ombudsman</w:t>
      </w:r>
      <w:r w:rsidR="00D45E5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39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 seguros y </w:t>
      </w:r>
      <w:r w:rsidR="00496BB1">
        <w:rPr>
          <w:rFonts w:ascii="Times New Roman" w:hAnsi="Times New Roman" w:cs="Times New Roman"/>
          <w:sz w:val="24"/>
          <w:szCs w:val="24"/>
          <w:lang w:val="es-ES"/>
        </w:rPr>
        <w:t>transportes</w:t>
      </w:r>
      <w:r w:rsidR="000639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 Alemania</w:t>
      </w:r>
      <w:r w:rsidR="00E20271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E5D" w:rsidRPr="0022283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54E78" w:rsidRPr="00222833">
        <w:rPr>
          <w:rFonts w:ascii="Times New Roman" w:hAnsi="Times New Roman" w:cs="Times New Roman"/>
          <w:i/>
          <w:sz w:val="24"/>
          <w:szCs w:val="24"/>
          <w:lang w:val="es-ES"/>
        </w:rPr>
        <w:t>Geschillencommissie</w:t>
      </w:r>
      <w:proofErr w:type="spellEnd"/>
      <w:r w:rsidR="00E54E78" w:rsidRPr="002228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E54E78" w:rsidRPr="00222833">
        <w:rPr>
          <w:rFonts w:ascii="Times New Roman" w:hAnsi="Times New Roman" w:cs="Times New Roman"/>
          <w:i/>
          <w:sz w:val="24"/>
          <w:szCs w:val="24"/>
          <w:lang w:val="es-ES"/>
        </w:rPr>
        <w:t>Stichting</w:t>
      </w:r>
      <w:proofErr w:type="spellEnd"/>
      <w:r w:rsidR="00D45E5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E20271" w:rsidRPr="00222833">
        <w:rPr>
          <w:rFonts w:ascii="Times New Roman" w:hAnsi="Times New Roman" w:cs="Times New Roman"/>
          <w:sz w:val="24"/>
          <w:szCs w:val="24"/>
          <w:lang w:val="es-ES"/>
        </w:rPr>
        <w:t>los Países Bajos, el ARN e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E2027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Suecia 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E2027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por citar sólo algunos) podrían ser candidatos para prestar servicios subcontratados. </w:t>
      </w:r>
    </w:p>
    <w:p w14:paraId="0FD16F80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AF2C82" w14:textId="581C3F9B" w:rsidR="00E54E78" w:rsidRPr="00222833" w:rsidRDefault="00E20271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La creación de plataformas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ODR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que cubren cada Estado Miembro, ya sea a través de la </w:t>
      </w:r>
      <w:r w:rsidR="00113D7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propia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plataforma de ODR a </w:t>
      </w:r>
      <w:r w:rsidR="00575659">
        <w:rPr>
          <w:rFonts w:ascii="Times New Roman" w:hAnsi="Times New Roman" w:cs="Times New Roman"/>
          <w:sz w:val="24"/>
          <w:szCs w:val="24"/>
          <w:lang w:val="es-ES"/>
        </w:rPr>
        <w:t>escala europea</w:t>
      </w:r>
      <w:r w:rsidR="00113D7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 a nivel nacional, incrementaría la accesibilidad y la funcionalidad. El primer ejemplo es la plataforma nacional </w:t>
      </w:r>
      <w:proofErr w:type="spellStart"/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>BelMed</w:t>
      </w:r>
      <w:proofErr w:type="spellEnd"/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2137" w:rsidRPr="00222833">
        <w:rPr>
          <w:rFonts w:ascii="Times New Roman" w:hAnsi="Times New Roman" w:cs="Times New Roman"/>
          <w:sz w:val="24"/>
          <w:szCs w:val="24"/>
          <w:lang w:val="es-ES"/>
        </w:rPr>
        <w:t>en Bélgica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B4B5B1C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F2F997" w14:textId="34A82C79" w:rsidR="00E54E78" w:rsidRPr="00222833" w:rsidRDefault="007F0729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Algunos Estados Miembros</w:t>
      </w:r>
      <w:r w:rsidR="0002343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disponen ya </w:t>
      </w:r>
      <w:r w:rsidR="001F1B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 una estructura </w:t>
      </w:r>
      <w:r w:rsidR="00023436" w:rsidRPr="00222833">
        <w:rPr>
          <w:rFonts w:ascii="Times New Roman" w:hAnsi="Times New Roman" w:cs="Times New Roman"/>
          <w:sz w:val="24"/>
          <w:szCs w:val="24"/>
          <w:lang w:val="es-ES"/>
        </w:rPr>
        <w:t>basada en</w:t>
      </w:r>
      <w:r w:rsidR="001F1B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un organismo nacional residual de RLC y varios organismos sectoriales que </w:t>
      </w:r>
      <w:r w:rsidR="002C6AB9" w:rsidRPr="00222833">
        <w:rPr>
          <w:rFonts w:ascii="Times New Roman" w:hAnsi="Times New Roman" w:cs="Times New Roman"/>
          <w:sz w:val="24"/>
          <w:szCs w:val="24"/>
          <w:lang w:val="es-ES"/>
        </w:rPr>
        <w:t>abarcan</w:t>
      </w:r>
      <w:r w:rsidR="001F1B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las principales áreas</w:t>
      </w:r>
      <w:r w:rsidR="0002343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252875" w:rsidRPr="00222833">
        <w:rPr>
          <w:rFonts w:ascii="Times New Roman" w:hAnsi="Times New Roman" w:cs="Times New Roman"/>
          <w:sz w:val="24"/>
          <w:szCs w:val="24"/>
          <w:lang w:val="es-ES"/>
        </w:rPr>
        <w:t>pecializadas</w:t>
      </w:r>
      <w:r w:rsidR="001F1B8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25287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servicios financieros, telecomunicaciones, energía, suministros, etc.) con lo que se da plena cobertura a todos los supuestos, como ocurre en los países nórdicos 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252875" w:rsidRPr="00222833">
        <w:rPr>
          <w:rFonts w:ascii="Times New Roman" w:hAnsi="Times New Roman" w:cs="Times New Roman"/>
          <w:sz w:val="24"/>
          <w:szCs w:val="24"/>
          <w:lang w:val="es-ES"/>
        </w:rPr>
        <w:t>véase Figura 2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14:paraId="585E0D71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367DFF" w14:textId="32E8C060" w:rsidR="00E54E78" w:rsidRPr="00222833" w:rsidRDefault="00252875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Figura</w:t>
      </w:r>
      <w:r w:rsidR="00E54E7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2: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Organismo nacional residual de RLC + cobertura sectorial </w:t>
      </w:r>
    </w:p>
    <w:p w14:paraId="648C6039" w14:textId="77777777" w:rsidR="00E54E78" w:rsidRPr="00222833" w:rsidRDefault="00E54E78" w:rsidP="00E54E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5B3B344" wp14:editId="59F0E568">
            <wp:extent cx="1299178" cy="12893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10" cy="1293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45A92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239A82" w14:textId="49582B50" w:rsidR="00E54E78" w:rsidRPr="00222833" w:rsidRDefault="00933642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El modelo vigente en los País</w:t>
      </w:r>
      <w:r w:rsidR="005D5A86" w:rsidRPr="0022283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 Bajos y en Bulgaria tiene la ventaja de ser amplio (sin llegar a brindar cobertura </w:t>
      </w:r>
      <w:r w:rsidR="00575659">
        <w:rPr>
          <w:rFonts w:ascii="Times New Roman" w:hAnsi="Times New Roman" w:cs="Times New Roman"/>
          <w:sz w:val="24"/>
          <w:szCs w:val="24"/>
          <w:lang w:val="es-ES"/>
        </w:rPr>
        <w:t>integral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), por lo que se plantea la cuestión de cómo incorporar los sectores </w:t>
      </w:r>
      <w:r w:rsidR="00E013D9" w:rsidRPr="00222833">
        <w:rPr>
          <w:rFonts w:ascii="Times New Roman" w:hAnsi="Times New Roman" w:cs="Times New Roman"/>
          <w:sz w:val="24"/>
          <w:szCs w:val="24"/>
          <w:lang w:val="es-ES"/>
        </w:rPr>
        <w:t>que no se han unido al sistema o a los comerciantes no adheridos a las asociaciones de comerciantes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E013D9" w:rsidRPr="00222833">
        <w:rPr>
          <w:rFonts w:ascii="Times New Roman" w:hAnsi="Times New Roman" w:cs="Times New Roman"/>
          <w:sz w:val="24"/>
          <w:szCs w:val="24"/>
          <w:lang w:val="es-ES"/>
        </w:rPr>
        <w:t>véase Figura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3). </w:t>
      </w:r>
      <w:r w:rsidR="00E013D9" w:rsidRPr="00222833">
        <w:rPr>
          <w:rFonts w:ascii="Times New Roman" w:hAnsi="Times New Roman" w:cs="Times New Roman"/>
          <w:sz w:val="24"/>
          <w:szCs w:val="24"/>
          <w:lang w:val="es-ES"/>
        </w:rPr>
        <w:t>El sistema holandés ofrece ciertas ventajas</w:t>
      </w:r>
      <w:r w:rsidR="005D5A8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gracias</w:t>
      </w:r>
      <w:r w:rsidR="00E013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A86" w:rsidRPr="0022283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013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 sistema de </w:t>
      </w:r>
      <w:r w:rsidR="00F644BA">
        <w:rPr>
          <w:rFonts w:ascii="Times New Roman" w:hAnsi="Times New Roman" w:cs="Times New Roman"/>
          <w:sz w:val="24"/>
          <w:szCs w:val="24"/>
          <w:lang w:val="es-ES"/>
        </w:rPr>
        <w:t>acordar</w:t>
      </w:r>
      <w:r w:rsidR="00D91A0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condiciones generales entre representantes de los consumidores y de los comerciantes en muchos sectores,</w:t>
      </w:r>
      <w:r w:rsidR="005D5A8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fomentan</w:t>
      </w:r>
      <w:r w:rsidR="00F644BA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5D5A8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un alto nivel de adhesión a </w:t>
      </w:r>
      <w:r w:rsidR="00F644BA">
        <w:rPr>
          <w:rFonts w:ascii="Times New Roman" w:hAnsi="Times New Roman" w:cs="Times New Roman"/>
          <w:sz w:val="24"/>
          <w:szCs w:val="24"/>
          <w:lang w:val="es-ES"/>
        </w:rPr>
        <w:t>estándares</w:t>
      </w:r>
      <w:r w:rsidR="005D5A8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A86"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>comerciales</w:t>
      </w:r>
      <w:r w:rsidR="00D91A0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C176DE" w:rsidRPr="00222833">
        <w:rPr>
          <w:rFonts w:ascii="Times New Roman" w:hAnsi="Times New Roman" w:cs="Times New Roman"/>
          <w:sz w:val="24"/>
          <w:szCs w:val="24"/>
          <w:lang w:val="es-ES"/>
        </w:rPr>
        <w:t>superior</w:t>
      </w:r>
      <w:r w:rsidR="00F644BA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C176D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 los requisitos legales) y, por ello, un número potencialmente limitado de quejas.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BEB56A7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680DF2" w14:textId="74CB9AC5" w:rsidR="00E54E78" w:rsidRPr="00222833" w:rsidRDefault="006D5781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Figura</w:t>
      </w:r>
      <w:r w:rsidR="00E54E7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3: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El modelo holandés</w:t>
      </w:r>
    </w:p>
    <w:p w14:paraId="58EBEF7A" w14:textId="77777777" w:rsidR="00E54E78" w:rsidRPr="00222833" w:rsidRDefault="00E54E78" w:rsidP="00E54E7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99DBF58" wp14:editId="03C2506A">
            <wp:extent cx="3448050" cy="158761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14167"/>
                    <a:stretch/>
                  </pic:blipFill>
                  <pic:spPr bwMode="auto">
                    <a:xfrm>
                      <a:off x="0" y="0"/>
                      <a:ext cx="3449008" cy="15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F111B" w14:textId="77777777" w:rsidR="00E54E78" w:rsidRPr="00222833" w:rsidRDefault="00E54E78" w:rsidP="00E54E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502753" w14:textId="5242B4A9" w:rsidR="00E54E78" w:rsidRPr="00222833" w:rsidRDefault="00776EE2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países como el Reino Unido, Alemania, Irlanda y Francia existen algunos organismos sectoriales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2D33" w:rsidRPr="00222833">
        <w:rPr>
          <w:rFonts w:ascii="Times New Roman" w:hAnsi="Times New Roman" w:cs="Times New Roman"/>
          <w:sz w:val="24"/>
          <w:szCs w:val="24"/>
          <w:lang w:val="es-ES"/>
        </w:rPr>
        <w:t>(aunque no están integrados en una única estructura nacional) sin que la cobertura sea total (Figura 4). En estos casos, hay varias posibilidades</w:t>
      </w:r>
      <w:r w:rsidR="0059690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="00502A82" w:rsidRPr="00222833">
        <w:rPr>
          <w:rFonts w:ascii="Times New Roman" w:hAnsi="Times New Roman" w:cs="Times New Roman"/>
          <w:sz w:val="24"/>
          <w:szCs w:val="24"/>
          <w:lang w:val="es-ES"/>
        </w:rPr>
        <w:t>, por ejemplo,</w:t>
      </w:r>
      <w:r w:rsidR="0059690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integrar varios organismos de RLC más pequeños </w:t>
      </w:r>
      <w:r w:rsidR="00DC06D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o crear un organismo general que se sitúe por encima de o en paralelo </w:t>
      </w:r>
      <w:r w:rsidR="00E7535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C06D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otros órganos de RLC. </w:t>
      </w:r>
    </w:p>
    <w:p w14:paraId="2001985C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6EFA64A" w14:textId="03B97A17" w:rsidR="0020796D" w:rsidRPr="00222833" w:rsidRDefault="0020796D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Figura</w:t>
      </w:r>
      <w:r w:rsidR="00E54E78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4: </w:t>
      </w:r>
      <w:r w:rsidR="00DC06D6" w:rsidRPr="0022283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rganismos sectoriales de RLC diferenciados </w:t>
      </w:r>
    </w:p>
    <w:p w14:paraId="783EC8E6" w14:textId="72CB513A" w:rsidR="00E54E78" w:rsidRPr="00222833" w:rsidRDefault="0020796D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que brindan cobertura parcial</w:t>
      </w:r>
      <w:r w:rsidR="00E54E7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BAE2AB3" w14:textId="77777777" w:rsidR="00E54E78" w:rsidRPr="00222833" w:rsidRDefault="00E54E78" w:rsidP="00E54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93A3E3" wp14:editId="4B0309D7">
            <wp:extent cx="2250309" cy="1245579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4"/>
                    <a:stretch/>
                  </pic:blipFill>
                  <pic:spPr bwMode="auto">
                    <a:xfrm>
                      <a:off x="0" y="0"/>
                      <a:ext cx="2259385" cy="12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8D459" w14:textId="77777777" w:rsidR="00E54E78" w:rsidRPr="00222833" w:rsidRDefault="00E54E78" w:rsidP="00E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ECCA3B1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7B1D78D" w14:textId="6A453F3D" w:rsidR="00E86FB4" w:rsidRPr="00222833" w:rsidRDefault="0020796D" w:rsidP="00942253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Consideraciones en el diseño de los sistemas de RLC </w:t>
      </w:r>
    </w:p>
    <w:p w14:paraId="21F7D8EF" w14:textId="77777777" w:rsidR="00914F5A" w:rsidRPr="00222833" w:rsidRDefault="00914F5A" w:rsidP="005A42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CA743EA" w14:textId="2DF74585" w:rsidR="00E86FB4" w:rsidRPr="00222833" w:rsidRDefault="001A11D4" w:rsidP="005A42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Con el fin de lograr estos objetivos, los sistemas de RLC deben diseñarse con la funcionalidad apropiada, debiendo tenerse en cuenta las cuestiones que se abordan a continuación.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7E5666A" w14:textId="77777777" w:rsidR="00E86FB4" w:rsidRPr="00222833" w:rsidRDefault="00E86FB4" w:rsidP="005A42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696B477" w14:textId="1E06C8C6" w:rsidR="00E86FB4" w:rsidRPr="00222833" w:rsidRDefault="00742A22" w:rsidP="0091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Primero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las entidades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deben observar escrupulosamente los principios de calidad de la Directiva y ma</w:t>
      </w:r>
      <w:r w:rsidR="00BA140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tener altos niveles de independencia, transparencia, conocimientos especializados y equidad en la toma de decisiones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3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78C0" w:rsidRPr="0022283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140C">
        <w:rPr>
          <w:rFonts w:ascii="Times New Roman" w:hAnsi="Times New Roman" w:cs="Times New Roman"/>
          <w:sz w:val="24"/>
          <w:szCs w:val="24"/>
          <w:lang w:val="es-ES"/>
        </w:rPr>
        <w:t>adhesión a dichos pri</w:t>
      </w:r>
      <w:r w:rsidR="00B678C0" w:rsidRPr="00222833">
        <w:rPr>
          <w:rFonts w:ascii="Times New Roman" w:hAnsi="Times New Roman" w:cs="Times New Roman"/>
          <w:sz w:val="24"/>
          <w:szCs w:val="24"/>
          <w:lang w:val="es-ES"/>
        </w:rPr>
        <w:t>ncipios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debe ser </w:t>
      </w:r>
      <w:r w:rsidR="00B678C0" w:rsidRPr="00222833">
        <w:rPr>
          <w:rFonts w:ascii="Times New Roman" w:hAnsi="Times New Roman" w:cs="Times New Roman"/>
          <w:sz w:val="24"/>
          <w:szCs w:val="24"/>
          <w:lang w:val="es-ES"/>
        </w:rPr>
        <w:t>firme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 visible con el fin de garantizar la</w:t>
      </w:r>
      <w:r w:rsidR="00BA140C">
        <w:rPr>
          <w:rFonts w:ascii="Times New Roman" w:hAnsi="Times New Roman" w:cs="Times New Roman"/>
          <w:sz w:val="24"/>
          <w:szCs w:val="24"/>
          <w:lang w:val="es-ES"/>
        </w:rPr>
        <w:t xml:space="preserve"> imparcialidad constitucional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78C0" w:rsidRPr="00222833">
        <w:rPr>
          <w:rFonts w:ascii="Times New Roman" w:hAnsi="Times New Roman" w:cs="Times New Roman"/>
          <w:sz w:val="24"/>
          <w:szCs w:val="24"/>
          <w:lang w:val="es-ES"/>
        </w:rPr>
        <w:t>y generar</w:t>
      </w:r>
      <w:r w:rsidR="00D2053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respeto y confianza.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5DD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Desde el punto de vista normativo, la supervisión por parte de las autoridades nacionales competentes debe ser </w:t>
      </w:r>
      <w:r w:rsidR="00502A82" w:rsidRPr="00222833">
        <w:rPr>
          <w:rFonts w:ascii="Times New Roman" w:hAnsi="Times New Roman" w:cs="Times New Roman"/>
          <w:sz w:val="24"/>
          <w:szCs w:val="24"/>
          <w:lang w:val="es-ES"/>
        </w:rPr>
        <w:t>firme</w:t>
      </w:r>
      <w:r w:rsidR="00000EC3" w:rsidRPr="00222833">
        <w:rPr>
          <w:rFonts w:ascii="Times New Roman" w:hAnsi="Times New Roman" w:cs="Times New Roman"/>
          <w:sz w:val="24"/>
          <w:szCs w:val="24"/>
          <w:lang w:val="es-ES"/>
        </w:rPr>
        <w:t>, debiendo incluir la colaboración entre los miembros que conforman la red de autoridades nacionales (por ejemplo, a través de formación e inspecciones conjuntas) y una actuación supervisora coordinada.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0EC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Desde el punto de vista </w:t>
      </w:r>
      <w:r w:rsidR="003D55EF">
        <w:rPr>
          <w:rFonts w:ascii="Times New Roman" w:hAnsi="Times New Roman" w:cs="Times New Roman"/>
          <w:sz w:val="24"/>
          <w:szCs w:val="24"/>
          <w:lang w:val="es-ES"/>
        </w:rPr>
        <w:t>de autorregulación</w:t>
      </w:r>
      <w:r w:rsidR="0066430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los organismos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430B" w:rsidRPr="0022283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BA140C">
        <w:rPr>
          <w:rFonts w:ascii="Times New Roman" w:hAnsi="Times New Roman" w:cs="Times New Roman"/>
          <w:sz w:val="24"/>
          <w:szCs w:val="24"/>
          <w:lang w:val="es-ES"/>
        </w:rPr>
        <w:t>ben tener la obligación de</w:t>
      </w:r>
      <w:r w:rsidR="0066430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compartir mejores prácticas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4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430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programas de formación coordinados, garantía de calidad y auditoría y total </w:t>
      </w:r>
      <w:r w:rsidR="0066430B"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>transparencia en las estructuras de gobierno y en la consecución de criterios de efectividad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21A15" w:rsidRPr="00222833">
        <w:rPr>
          <w:rFonts w:ascii="Times New Roman" w:hAnsi="Times New Roman" w:cs="Times New Roman"/>
          <w:sz w:val="24"/>
          <w:szCs w:val="24"/>
          <w:lang w:val="es-ES"/>
        </w:rPr>
        <w:t>La existencia de</w:t>
      </w:r>
      <w:r w:rsidR="0066430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financiación del sector pri</w:t>
      </w:r>
      <w:r w:rsidR="00317784" w:rsidRPr="00222833">
        <w:rPr>
          <w:rFonts w:ascii="Times New Roman" w:hAnsi="Times New Roman" w:cs="Times New Roman"/>
          <w:sz w:val="24"/>
          <w:szCs w:val="24"/>
          <w:lang w:val="es-ES"/>
        </w:rPr>
        <w:t>vado</w:t>
      </w:r>
      <w:r w:rsidR="00D21A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 aceptable siempre que existan una gobernanza, supervisión y transparencia adecuadas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5"/>
      </w:r>
      <w:r w:rsidR="00D21A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cualquier caso, los consumidores </w:t>
      </w:r>
      <w:r w:rsidR="003D55EF">
        <w:rPr>
          <w:rFonts w:ascii="Times New Roman" w:hAnsi="Times New Roman" w:cs="Times New Roman"/>
          <w:sz w:val="24"/>
          <w:szCs w:val="24"/>
          <w:lang w:val="es-ES"/>
        </w:rPr>
        <w:t>deberán conservar</w:t>
      </w:r>
      <w:r w:rsidR="00D21A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su derecho fundamental de acceso a los tribunales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6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E962FC5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2B359D5" w14:textId="271FA158" w:rsidR="00E86FB4" w:rsidRPr="00222833" w:rsidRDefault="00317784" w:rsidP="0091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En segundo lugar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comerciantes deben ser siempre </w:t>
      </w:r>
      <w:r w:rsidR="003D55EF">
        <w:rPr>
          <w:rFonts w:ascii="Times New Roman" w:hAnsi="Times New Roman" w:cs="Times New Roman"/>
          <w:sz w:val="24"/>
          <w:szCs w:val="24"/>
          <w:lang w:val="es-ES"/>
        </w:rPr>
        <w:t>el primer recurso</w:t>
      </w:r>
      <w:r w:rsidR="00F90D3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en cualquier reclamación,</w:t>
      </w:r>
      <w:r w:rsidR="00290CC6">
        <w:rPr>
          <w:rFonts w:ascii="Times New Roman" w:hAnsi="Times New Roman" w:cs="Times New Roman"/>
          <w:sz w:val="24"/>
          <w:szCs w:val="24"/>
          <w:lang w:val="es-ES"/>
        </w:rPr>
        <w:t xml:space="preserve"> pero los consumidores deben tener siempre expedito el acceso a sistemas de RAL si los departamentos de atención al cliente de las empresas no responden a la reclamación o si la tramitación es demasiado compleja o implica múltiples fases.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5DD9" w:rsidRPr="00222833">
        <w:rPr>
          <w:rFonts w:ascii="Times New Roman" w:hAnsi="Times New Roman" w:cs="Times New Roman"/>
          <w:sz w:val="24"/>
          <w:szCs w:val="24"/>
          <w:lang w:val="es-ES"/>
        </w:rPr>
        <w:t>La existencia de mediadores en el seno de algunas empresas con carácter preferente a entidades de RAL externas totalmente independientes no es deseable y debe sustituirse por lo segundo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7"/>
      </w:r>
    </w:p>
    <w:p w14:paraId="2589FBE0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9907C65" w14:textId="02B779AA" w:rsidR="00E86FB4" w:rsidRPr="00222833" w:rsidRDefault="00585DD9" w:rsidP="0091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3BE">
        <w:rPr>
          <w:rFonts w:ascii="Times New Roman" w:hAnsi="Times New Roman" w:cs="Times New Roman"/>
          <w:sz w:val="24"/>
          <w:szCs w:val="24"/>
          <w:lang w:val="es-ES"/>
        </w:rPr>
        <w:t>Tercero</w:t>
      </w:r>
      <w:r w:rsidR="00914F5A" w:rsidRPr="00A203B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27BC1" w:rsidRPr="00A203BE">
        <w:rPr>
          <w:rFonts w:ascii="Times New Roman" w:hAnsi="Times New Roman" w:cs="Times New Roman"/>
          <w:sz w:val="24"/>
          <w:szCs w:val="24"/>
          <w:lang w:val="es-ES"/>
        </w:rPr>
        <w:t xml:space="preserve">la tramitación de reclamaciones </w:t>
      </w:r>
      <w:r w:rsidR="00F90D35" w:rsidRPr="00A203BE">
        <w:rPr>
          <w:rFonts w:ascii="Times New Roman" w:hAnsi="Times New Roman" w:cs="Times New Roman"/>
          <w:sz w:val="24"/>
          <w:szCs w:val="24"/>
          <w:lang w:val="es-ES"/>
        </w:rPr>
        <w:t xml:space="preserve">debe </w:t>
      </w:r>
      <w:r w:rsidR="00A203BE" w:rsidRPr="00A203BE">
        <w:rPr>
          <w:rFonts w:ascii="Times New Roman" w:hAnsi="Times New Roman" w:cs="Times New Roman"/>
          <w:sz w:val="24"/>
          <w:szCs w:val="24"/>
          <w:lang w:val="es-ES"/>
        </w:rPr>
        <w:t>ser</w:t>
      </w:r>
      <w:r w:rsidR="00F90D35" w:rsidRPr="00A203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03BE" w:rsidRPr="00A203BE">
        <w:rPr>
          <w:rFonts w:ascii="Times New Roman" w:hAnsi="Times New Roman" w:cs="Times New Roman"/>
          <w:sz w:val="24"/>
          <w:szCs w:val="24"/>
          <w:lang w:val="es-ES"/>
        </w:rPr>
        <w:t xml:space="preserve">fluida e integrada. Esto significa que las entidades de RLC deben estar inter-conectadas y colaborar recíprocamente, garantizando que los datos del consumidor </w:t>
      </w:r>
      <w:r w:rsidR="005B3A7E" w:rsidRPr="00A203BE">
        <w:rPr>
          <w:rFonts w:ascii="Times New Roman" w:hAnsi="Times New Roman" w:cs="Times New Roman"/>
          <w:sz w:val="24"/>
          <w:szCs w:val="24"/>
          <w:lang w:val="es-ES"/>
        </w:rPr>
        <w:t>se remitan con celeridad al organismo de RLC adecuado y un nivel aceptable de coherencia entre los distintos modos de funcionamiento, procedimientos y efectividad para no generar confusión entre los consumidores.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3A7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sistemas nacionales deben diseñarse con la máxima simplicidad, </w:t>
      </w:r>
      <w:r w:rsidR="00E753DC">
        <w:rPr>
          <w:rFonts w:ascii="Times New Roman" w:hAnsi="Times New Roman" w:cs="Times New Roman"/>
          <w:sz w:val="24"/>
          <w:szCs w:val="24"/>
          <w:lang w:val="es-ES"/>
        </w:rPr>
        <w:t>de forma que</w:t>
      </w:r>
      <w:r w:rsidR="005B3A7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consumidores y los comerciantes </w:t>
      </w:r>
      <w:r w:rsidR="00E753DC">
        <w:rPr>
          <w:rFonts w:ascii="Times New Roman" w:hAnsi="Times New Roman" w:cs="Times New Roman"/>
          <w:sz w:val="24"/>
          <w:szCs w:val="24"/>
          <w:lang w:val="es-ES"/>
        </w:rPr>
        <w:t>recuerden</w:t>
      </w:r>
      <w:r w:rsidR="005B3A7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fácilmente </w:t>
      </w:r>
      <w:r w:rsidR="0018650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pasos a seguir si surge algún problema (por ejemplo, "Ir al defensor del consumidor"). 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650E" w:rsidRPr="00222833">
        <w:rPr>
          <w:rFonts w:ascii="Times New Roman" w:hAnsi="Times New Roman" w:cs="Times New Roman"/>
          <w:sz w:val="24"/>
          <w:szCs w:val="24"/>
          <w:lang w:val="es-ES"/>
        </w:rPr>
        <w:t>Un sistema nacional con demasiadas entidades de RLC o mediadores individuales difícilmente será recordado por los consumidores o merecerá su confianza</w:t>
      </w:r>
      <w:r w:rsidR="000B025A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700F51F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C89C92" w14:textId="72EA8398" w:rsidR="00E86FB4" w:rsidRPr="00222833" w:rsidRDefault="000B025A" w:rsidP="0091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Cuarto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sistemas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deben diseñarse para facilitar </w:t>
      </w:r>
      <w:r w:rsidR="00E47E3C" w:rsidRPr="00222833">
        <w:rPr>
          <w:rFonts w:ascii="Times New Roman" w:hAnsi="Times New Roman" w:cs="Times New Roman"/>
          <w:sz w:val="24"/>
          <w:szCs w:val="24"/>
          <w:lang w:val="es-ES"/>
        </w:rPr>
        <w:t>la vigilancia del mercado y el cumplimiento por parte de los organismos públicos, en su caso,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E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organismos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E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deben compilar todos los datos a partir de encuestas y quejas, </w:t>
      </w:r>
      <w:r w:rsidR="001F3D2F">
        <w:rPr>
          <w:rFonts w:ascii="Times New Roman" w:hAnsi="Times New Roman" w:cs="Times New Roman"/>
          <w:sz w:val="24"/>
          <w:szCs w:val="24"/>
          <w:lang w:val="es-ES"/>
        </w:rPr>
        <w:t>publicándolos</w:t>
      </w:r>
      <w:r w:rsidR="00E47E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forma agregada 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E47E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esto es, sin identificar a un consumidor individual) para permitir </w:t>
      </w:r>
      <w:r w:rsidR="00A35EE8">
        <w:rPr>
          <w:rFonts w:ascii="Times New Roman" w:hAnsi="Times New Roman" w:cs="Times New Roman"/>
          <w:sz w:val="24"/>
          <w:szCs w:val="24"/>
          <w:lang w:val="es-ES"/>
        </w:rPr>
        <w:t xml:space="preserve">la información </w:t>
      </w:r>
      <w:r w:rsidR="00355B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sobre las condiciones de mercado, identificar </w:t>
      </w:r>
      <w:r w:rsidR="00A35EE8">
        <w:rPr>
          <w:rFonts w:ascii="Times New Roman" w:hAnsi="Times New Roman" w:cs="Times New Roman"/>
          <w:sz w:val="24"/>
          <w:szCs w:val="24"/>
          <w:lang w:val="es-ES"/>
        </w:rPr>
        <w:t>problemas emergentes</w:t>
      </w:r>
      <w:r w:rsidR="00355B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 comerciantes con altos volúmenes de quejas o asuntos graves (lo que, en algunos países, puede exigir la autorización del organismo encargado de la protección de datos de carácter </w:t>
      </w:r>
      <w:r w:rsidR="00A35EE8">
        <w:rPr>
          <w:rFonts w:ascii="Times New Roman" w:hAnsi="Times New Roman" w:cs="Times New Roman"/>
          <w:sz w:val="24"/>
          <w:szCs w:val="24"/>
          <w:lang w:val="es-ES"/>
        </w:rPr>
        <w:t>personal</w:t>
      </w:r>
      <w:r w:rsidR="00355B5A" w:rsidRPr="0022283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8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2552" w:rsidRPr="00222833">
        <w:rPr>
          <w:rFonts w:ascii="Times New Roman" w:hAnsi="Times New Roman" w:cs="Times New Roman"/>
          <w:sz w:val="24"/>
          <w:szCs w:val="24"/>
          <w:lang w:val="es-ES"/>
        </w:rPr>
        <w:t>En el caso de algunos organismos de RLC puede ser aconsejable publicar datos sobre el número de litigios y problemas</w:t>
      </w:r>
      <w:r w:rsidR="001B100C">
        <w:rPr>
          <w:rFonts w:ascii="Times New Roman" w:hAnsi="Times New Roman" w:cs="Times New Roman"/>
          <w:sz w:val="24"/>
          <w:szCs w:val="24"/>
          <w:lang w:val="es-ES"/>
        </w:rPr>
        <w:t xml:space="preserve"> que aparecen de manera sistemática </w:t>
      </w:r>
      <w:r w:rsidR="007C255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1B100C">
        <w:rPr>
          <w:rFonts w:ascii="Times New Roman" w:hAnsi="Times New Roman" w:cs="Times New Roman"/>
          <w:sz w:val="24"/>
          <w:szCs w:val="24"/>
          <w:lang w:val="es-ES"/>
        </w:rPr>
        <w:t>mayor</w:t>
      </w:r>
      <w:r w:rsidR="007C255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frecuencia y detalle del que se exige en la Directiva en relación</w:t>
      </w:r>
      <w:r w:rsidR="00D501A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con</w:t>
      </w:r>
      <w:r w:rsidR="007C255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informes anuales de acti</w:t>
      </w:r>
      <w:r w:rsidR="00D501AE" w:rsidRPr="00222833">
        <w:rPr>
          <w:rFonts w:ascii="Times New Roman" w:hAnsi="Times New Roman" w:cs="Times New Roman"/>
          <w:sz w:val="24"/>
          <w:szCs w:val="24"/>
          <w:lang w:val="es-ES"/>
        </w:rPr>
        <w:t>vidad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9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01A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Asimismo, debe existir intercambio de información entre las entidades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01AE" w:rsidRPr="00222833">
        <w:rPr>
          <w:rFonts w:ascii="Times New Roman" w:hAnsi="Times New Roman" w:cs="Times New Roman"/>
          <w:sz w:val="24"/>
          <w:szCs w:val="24"/>
          <w:lang w:val="es-ES"/>
        </w:rPr>
        <w:t>y los organismos de control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0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01AE" w:rsidRPr="00222833">
        <w:rPr>
          <w:rFonts w:ascii="Times New Roman" w:hAnsi="Times New Roman" w:cs="Times New Roman"/>
          <w:sz w:val="24"/>
          <w:szCs w:val="24"/>
          <w:lang w:val="es-ES"/>
        </w:rPr>
        <w:t>además de una estrecha y regular colaboración</w:t>
      </w:r>
      <w:r w:rsidR="0069101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eastAsia="Times New Roman" w:hAnsi="Times New Roman" w:cs="Times New Roman"/>
          <w:sz w:val="24"/>
          <w:szCs w:val="24"/>
          <w:lang w:val="es-ES"/>
        </w:rPr>
        <w:footnoteReference w:id="51"/>
      </w:r>
    </w:p>
    <w:p w14:paraId="7D2B860B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9C261B0" w14:textId="5E33E9C8" w:rsidR="00E86FB4" w:rsidRPr="00222833" w:rsidRDefault="00DF3874" w:rsidP="0091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Quinto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organismos de control deben disponer de la capacidad para revisar </w:t>
      </w:r>
      <w:r w:rsidR="009534E7" w:rsidRPr="00222833">
        <w:rPr>
          <w:rFonts w:ascii="Times New Roman" w:hAnsi="Times New Roman" w:cs="Times New Roman"/>
          <w:sz w:val="24"/>
          <w:szCs w:val="24"/>
          <w:lang w:val="es-ES"/>
        </w:rPr>
        <w:t>los datos de vigilancia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procedentes </w:t>
      </w:r>
      <w:r w:rsidR="0024426A" w:rsidRPr="00222833">
        <w:rPr>
          <w:rFonts w:ascii="Times New Roman" w:hAnsi="Times New Roman" w:cs="Times New Roman"/>
          <w:sz w:val="24"/>
          <w:szCs w:val="24"/>
          <w:lang w:val="es-ES"/>
        </w:rPr>
        <w:t>de todas las fuentes para dar una imagen completa de las actividades comerciales, especialmente en los supuestos de incumplimiento.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3BBE">
        <w:rPr>
          <w:rFonts w:ascii="Times New Roman" w:hAnsi="Times New Roman" w:cs="Times New Roman"/>
          <w:sz w:val="24"/>
          <w:szCs w:val="24"/>
          <w:lang w:val="es-ES"/>
        </w:rPr>
        <w:t>Esta</w:t>
      </w:r>
      <w:r w:rsidR="0024426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necesidad </w:t>
      </w:r>
      <w:r w:rsidR="005A3BBE">
        <w:rPr>
          <w:rFonts w:ascii="Times New Roman" w:hAnsi="Times New Roman" w:cs="Times New Roman"/>
          <w:sz w:val="24"/>
          <w:szCs w:val="24"/>
          <w:lang w:val="es-ES"/>
        </w:rPr>
        <w:t>sugiere que</w:t>
      </w:r>
      <w:r w:rsidR="0024426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5A3BBE">
        <w:rPr>
          <w:rFonts w:ascii="Times New Roman" w:hAnsi="Times New Roman" w:cs="Times New Roman"/>
          <w:sz w:val="24"/>
          <w:szCs w:val="24"/>
          <w:lang w:val="es-ES"/>
        </w:rPr>
        <w:t>be</w:t>
      </w:r>
      <w:r w:rsidR="0024426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evitar un número excesivo de organismos de RLC. </w:t>
      </w:r>
      <w:r w:rsidR="009534E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Las autoridades de vigilancia </w:t>
      </w:r>
      <w:r w:rsidR="0024426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y los comerciantes deben </w:t>
      </w:r>
      <w:r w:rsidR="00A55346" w:rsidRPr="00222833">
        <w:rPr>
          <w:rFonts w:ascii="Times New Roman" w:hAnsi="Times New Roman" w:cs="Times New Roman"/>
          <w:sz w:val="24"/>
          <w:szCs w:val="24"/>
          <w:lang w:val="es-ES"/>
        </w:rPr>
        <w:t>poder acceder a un cuadro completo de datos de todas las fuentes</w:t>
      </w:r>
      <w:r w:rsidR="0024426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A5534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p.ej. un conjunto agregado de quejas dirigidas contra los comerciantes, </w:t>
      </w:r>
      <w:r w:rsidR="00A016B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RCC y reguladores). Asimismo, los organismos de control deben disponer de poderes adecuados para garantizar </w:t>
      </w:r>
      <w:r w:rsidR="00BC0021">
        <w:rPr>
          <w:rFonts w:ascii="Times New Roman" w:hAnsi="Times New Roman" w:cs="Times New Roman"/>
          <w:sz w:val="24"/>
          <w:szCs w:val="24"/>
          <w:lang w:val="es-ES"/>
        </w:rPr>
        <w:t>que los comerciantes cesen en sus actividades ilegales,</w:t>
      </w:r>
      <w:r w:rsidR="00A016B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evitar su reincidencia y obligarles a que </w:t>
      </w:r>
      <w:r w:rsidR="00777487" w:rsidRPr="00222833">
        <w:rPr>
          <w:rFonts w:ascii="Times New Roman" w:hAnsi="Times New Roman" w:cs="Times New Roman"/>
          <w:sz w:val="24"/>
          <w:szCs w:val="24"/>
          <w:lang w:val="es-ES"/>
        </w:rPr>
        <w:t>ofrezcan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487" w:rsidRPr="00222833">
        <w:rPr>
          <w:rFonts w:ascii="Times New Roman" w:hAnsi="Times New Roman" w:cs="Times New Roman"/>
          <w:sz w:val="24"/>
          <w:szCs w:val="24"/>
          <w:lang w:val="es-ES"/>
        </w:rPr>
        <w:t>algún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2253" w:rsidRPr="00222833">
        <w:rPr>
          <w:rFonts w:ascii="Times New Roman" w:hAnsi="Times New Roman" w:cs="Times New Roman"/>
          <w:sz w:val="24"/>
          <w:szCs w:val="24"/>
          <w:lang w:val="es-ES"/>
        </w:rPr>
        <w:t>recurso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12A6300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24A41B" w14:textId="417D3A33" w:rsidR="00E86FB4" w:rsidRPr="00222833" w:rsidRDefault="00A016B7" w:rsidP="0091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Sexto</w:t>
      </w:r>
      <w:r w:rsidR="00914F5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sistemas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deben diseñarse para facilitar recu</w:t>
      </w:r>
      <w:r w:rsidR="00BC0021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sos en masa/colectivos en </w:t>
      </w:r>
      <w:r w:rsidR="00EB0F20" w:rsidRPr="00222833">
        <w:rPr>
          <w:rFonts w:ascii="Times New Roman" w:hAnsi="Times New Roman" w:cs="Times New Roman"/>
          <w:sz w:val="24"/>
          <w:szCs w:val="24"/>
          <w:lang w:val="es-ES"/>
        </w:rPr>
        <w:t>supuestos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A34943">
        <w:rPr>
          <w:rFonts w:ascii="Times New Roman" w:hAnsi="Times New Roman" w:cs="Times New Roman"/>
          <w:sz w:val="24"/>
          <w:szCs w:val="24"/>
          <w:lang w:val="es-ES"/>
        </w:rPr>
        <w:t>multiplicidad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casos</w:t>
      </w:r>
      <w:r w:rsidR="00EB0F2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análogos.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0F2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Por lo tanto, los organismos de RLC deben poder identificar esa analogía y contar con procedimientos que garanticen la coherencia en la resolución de casos similares. </w:t>
      </w:r>
      <w:r w:rsidR="00776082">
        <w:rPr>
          <w:rFonts w:ascii="Times New Roman" w:hAnsi="Times New Roman" w:cs="Times New Roman"/>
          <w:sz w:val="24"/>
          <w:szCs w:val="24"/>
          <w:lang w:val="es-ES"/>
        </w:rPr>
        <w:t>Por lo tanto</w:t>
      </w:r>
      <w:r w:rsidR="00E8750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el contenido de los casos individuales debe ser objeto de supervisión con el fin de identificar cuestiones parecidas. Finalmente, debe existir un mecanismo </w:t>
      </w:r>
      <w:r w:rsidR="0077748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E87500" w:rsidRPr="00222833">
        <w:rPr>
          <w:rFonts w:ascii="Times New Roman" w:hAnsi="Times New Roman" w:cs="Times New Roman"/>
          <w:sz w:val="24"/>
          <w:szCs w:val="24"/>
          <w:lang w:val="es-ES"/>
        </w:rPr>
        <w:t>derivar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487" w:rsidRPr="00222833">
        <w:rPr>
          <w:rFonts w:ascii="Times New Roman" w:hAnsi="Times New Roman" w:cs="Times New Roman"/>
          <w:sz w:val="24"/>
          <w:szCs w:val="24"/>
          <w:lang w:val="es-ES"/>
        </w:rPr>
        <w:t>cuestiones legales dudosas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48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="00776082">
        <w:rPr>
          <w:rFonts w:ascii="Times New Roman" w:hAnsi="Times New Roman" w:cs="Times New Roman"/>
          <w:sz w:val="24"/>
          <w:szCs w:val="24"/>
          <w:lang w:val="es-ES"/>
        </w:rPr>
        <w:t>decisión</w:t>
      </w:r>
      <w:r w:rsidR="0077748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be </w:t>
      </w:r>
      <w:r w:rsidR="00E87500" w:rsidRPr="00222833">
        <w:rPr>
          <w:rFonts w:ascii="Times New Roman" w:hAnsi="Times New Roman" w:cs="Times New Roman"/>
          <w:sz w:val="24"/>
          <w:szCs w:val="24"/>
          <w:lang w:val="es-ES"/>
        </w:rPr>
        <w:t>los ju</w:t>
      </w:r>
      <w:r w:rsidR="00776082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E87500" w:rsidRPr="00222833">
        <w:rPr>
          <w:rFonts w:ascii="Times New Roman" w:hAnsi="Times New Roman" w:cs="Times New Roman"/>
          <w:sz w:val="24"/>
          <w:szCs w:val="24"/>
          <w:lang w:val="es-ES"/>
        </w:rPr>
        <w:t>gados y tribunales, los reguladores o los legisladores.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2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Las quejas de los consumidores en el sentido de que los comerciantes no han respetado </w:t>
      </w:r>
      <w:r w:rsidR="00BC7513">
        <w:rPr>
          <w:rFonts w:ascii="Times New Roman" w:hAnsi="Times New Roman" w:cs="Times New Roman"/>
          <w:sz w:val="24"/>
          <w:szCs w:val="24"/>
          <w:lang w:val="es-ES"/>
        </w:rPr>
        <w:t>el sistema de recursos ordenado</w:t>
      </w:r>
      <w:r w:rsidR="00346D2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por los reguladores o los tribunales podrían someterse a organismos de RLC específicos, que deberían aplicar las normas del </w:t>
      </w:r>
      <w:r w:rsidR="00DB529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recurso en cuestión y no la ley aplicable a la infracción original, ahorrando con ello gastos innecesarios. </w:t>
      </w:r>
    </w:p>
    <w:p w14:paraId="62B886FC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79376A4" w14:textId="77777777" w:rsidR="00914F5A" w:rsidRPr="00222833" w:rsidRDefault="00914F5A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C1F5B6B" w14:textId="4EAD3C17" w:rsidR="00E86FB4" w:rsidRPr="00222833" w:rsidRDefault="00DB529B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Posibilidades de desarrollo de</w:t>
      </w:r>
      <w:r w:rsidR="00386102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los sistemas de RLC</w:t>
      </w:r>
      <w:r w:rsidR="00E86FB4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0F3B3A7D" w14:textId="77777777" w:rsidR="00914F5A" w:rsidRPr="00222833" w:rsidRDefault="00914F5A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A030AF6" w14:textId="13B5249D" w:rsidR="00E86FB4" w:rsidRPr="00222833" w:rsidRDefault="00DB529B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Caben señalar varias posibilidades de desarrollo de los sistema de RLC, como por ejemplo las siguientes: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1C85935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E1317EE" w14:textId="64FCFB5B" w:rsidR="00E86FB4" w:rsidRPr="00222833" w:rsidRDefault="006E0A52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Introducir una fase inicial de selección o </w:t>
      </w:r>
      <w:r w:rsidR="00BC7513">
        <w:rPr>
          <w:rFonts w:ascii="Times New Roman" w:hAnsi="Times New Roman" w:cs="Times New Roman"/>
          <w:sz w:val="24"/>
          <w:szCs w:val="24"/>
          <w:lang w:val="es-ES"/>
        </w:rPr>
        <w:t>filtro</w:t>
      </w:r>
      <w:r w:rsidR="00E9127C">
        <w:rPr>
          <w:rFonts w:ascii="Times New Roman" w:hAnsi="Times New Roman" w:cs="Times New Roman"/>
          <w:sz w:val="24"/>
          <w:szCs w:val="24"/>
          <w:lang w:val="es-ES"/>
        </w:rPr>
        <w:t>, brindando información al</w:t>
      </w:r>
      <w:r w:rsidR="00C6164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consumidor y </w:t>
      </w:r>
      <w:r w:rsidR="00E9127C">
        <w:rPr>
          <w:rFonts w:ascii="Times New Roman" w:hAnsi="Times New Roman" w:cs="Times New Roman"/>
          <w:sz w:val="24"/>
          <w:szCs w:val="24"/>
          <w:lang w:val="es-ES"/>
        </w:rPr>
        <w:t>eliminando</w:t>
      </w:r>
      <w:r w:rsidR="00C6164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quejas manifiestamente infundadas. </w:t>
      </w:r>
    </w:p>
    <w:p w14:paraId="5D89B87C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77761A4" w14:textId="0B379F15" w:rsidR="00E86FB4" w:rsidRPr="00222833" w:rsidRDefault="00C61647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Incluir la mediación como primera fase en un sistema basado exclusivamente en el arbitraje, lo que puede resolver un número significativo de problemas en un </w:t>
      </w:r>
      <w:r w:rsidR="00D8616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estadio inicial y, por lo tanto, reducir costes (si bien debería estudiarse si el hecho de disponer de dos fases hace que el acceso a la </w:t>
      </w:r>
      <w:r w:rsidR="00DC39BD">
        <w:rPr>
          <w:rFonts w:ascii="Times New Roman" w:hAnsi="Times New Roman" w:cs="Times New Roman"/>
          <w:sz w:val="24"/>
          <w:szCs w:val="24"/>
          <w:lang w:val="es-ES"/>
        </w:rPr>
        <w:t>justicia</w:t>
      </w:r>
      <w:r w:rsidR="00D8616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resulte demasiado caro). Los sistemas de RLC en los Países Bajos no incluyen, por lo general, una fase inicial de mediación, mientras que en E</w:t>
      </w:r>
      <w:r w:rsidR="001841B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8616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paña los servicios de mediación y arbitraje en materia de consumo suelen prestarlos organismos distintos. </w:t>
      </w:r>
      <w:r w:rsidR="00307C1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este </w:t>
      </w:r>
      <w:r w:rsidR="007664FE">
        <w:rPr>
          <w:rFonts w:ascii="Times New Roman" w:hAnsi="Times New Roman" w:cs="Times New Roman"/>
          <w:sz w:val="24"/>
          <w:szCs w:val="24"/>
          <w:lang w:val="es-ES"/>
        </w:rPr>
        <w:t>sentido</w:t>
      </w:r>
      <w:r w:rsidR="00307C1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un modelo más integrado podría ser beneficioso. </w:t>
      </w:r>
    </w:p>
    <w:p w14:paraId="09E975F9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C5F7712" w14:textId="449827DC" w:rsidR="00E86FB4" w:rsidRPr="00222833" w:rsidRDefault="009069F8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Pasar de tribunales arbitrales formados por tres miembros -cosa que ralentiza el procedimiento- 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79A1" w:rsidRPr="00222833">
        <w:rPr>
          <w:rFonts w:ascii="Times New Roman" w:hAnsi="Times New Roman" w:cs="Times New Roman"/>
          <w:sz w:val="24"/>
          <w:szCs w:val="24"/>
          <w:lang w:val="es-ES"/>
        </w:rPr>
        <w:t>organismos unipersonales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(los casos en que esta solución podría ser indicada deben ser objeto de</w:t>
      </w:r>
      <w:r w:rsidR="00C32FD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mayor</w:t>
      </w:r>
      <w:r w:rsidR="00C32FD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estudio).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2FDB" w:rsidRPr="00222833">
        <w:rPr>
          <w:rFonts w:ascii="Times New Roman" w:hAnsi="Times New Roman" w:cs="Times New Roman"/>
          <w:sz w:val="24"/>
          <w:szCs w:val="24"/>
          <w:lang w:val="es-ES"/>
        </w:rPr>
        <w:t>El fundamento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2FDB" w:rsidRPr="00222833">
        <w:rPr>
          <w:rFonts w:ascii="Times New Roman" w:hAnsi="Times New Roman" w:cs="Times New Roman"/>
          <w:sz w:val="24"/>
          <w:szCs w:val="24"/>
          <w:lang w:val="es-ES"/>
        </w:rPr>
        <w:t>de este cambio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2FD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sería el ahorro de costes y del tiempo que se tarda en resolver litigios de </w:t>
      </w:r>
      <w:r w:rsidR="007664FE">
        <w:rPr>
          <w:rFonts w:ascii="Times New Roman" w:hAnsi="Times New Roman" w:cs="Times New Roman"/>
          <w:sz w:val="24"/>
          <w:szCs w:val="24"/>
          <w:lang w:val="es-ES"/>
        </w:rPr>
        <w:t>escasa</w:t>
      </w:r>
      <w:r w:rsidR="00C32FD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cuantía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32FD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incentivando a los consumidores a plantear más reclamaciones de las que en otro caso considerarían que merecen la pena</w:t>
      </w:r>
      <w:r w:rsidR="00D911E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 evitando con ello que un comerciante pueda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11E1" w:rsidRPr="00222833">
        <w:rPr>
          <w:rFonts w:ascii="Times New Roman" w:hAnsi="Times New Roman" w:cs="Times New Roman"/>
          <w:sz w:val="24"/>
          <w:szCs w:val="24"/>
          <w:lang w:val="es-ES"/>
        </w:rPr>
        <w:t>beneficiarse de un importante enriquecimiento injusto.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567CE6C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A66D9C2" w14:textId="3889812A" w:rsidR="00E86FB4" w:rsidRPr="00222833" w:rsidRDefault="00D911E1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>Eliminar las tasas de acceso para los consumidores.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Estudios llevados a cabo por la Comisión</w:t>
      </w:r>
      <w:r w:rsidR="007664FE">
        <w:rPr>
          <w:rFonts w:ascii="Times New Roman" w:hAnsi="Times New Roman" w:cs="Times New Roman"/>
          <w:sz w:val="24"/>
          <w:szCs w:val="24"/>
          <w:lang w:val="es-ES"/>
        </w:rPr>
        <w:t xml:space="preserve"> Europea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 la Universidad de Oxford concluyen que muchos </w:t>
      </w:r>
      <w:r w:rsidR="007664FE">
        <w:rPr>
          <w:rFonts w:ascii="Times New Roman" w:hAnsi="Times New Roman" w:cs="Times New Roman"/>
          <w:sz w:val="24"/>
          <w:szCs w:val="24"/>
          <w:lang w:val="es-ES"/>
        </w:rPr>
        <w:t>sistemas de RLC son gratuitos.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022C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Directiva señala que </w:t>
      </w:r>
      <w:r w:rsidR="00263C63" w:rsidRPr="00222833">
        <w:rPr>
          <w:rFonts w:ascii="Times New Roman" w:hAnsi="Times New Roman" w:cs="Times New Roman"/>
          <w:sz w:val="24"/>
          <w:szCs w:val="24"/>
          <w:lang w:val="es-ES"/>
        </w:rPr>
        <w:t>el procedimiento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3C63" w:rsidRPr="00222833">
        <w:rPr>
          <w:rFonts w:ascii="Times New Roman" w:hAnsi="Times New Roman" w:cs="Times New Roman"/>
          <w:sz w:val="24"/>
          <w:szCs w:val="24"/>
          <w:lang w:val="es-ES"/>
        </w:rPr>
        <w:t>debe ser "gratuito o prestarse a cambio de un precio simbólico"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2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3C63" w:rsidRPr="00222833">
        <w:rPr>
          <w:rFonts w:ascii="Times New Roman" w:hAnsi="Times New Roman" w:cs="Times New Roman"/>
          <w:sz w:val="24"/>
          <w:szCs w:val="24"/>
          <w:lang w:val="es-ES"/>
        </w:rPr>
        <w:t>El fundamento histórico para imponer una tasa de acceso a ambas parte</w:t>
      </w:r>
      <w:r w:rsidR="00120EA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63C6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puede haber q</w:t>
      </w:r>
      <w:r w:rsidR="00120EA9">
        <w:rPr>
          <w:rFonts w:ascii="Times New Roman" w:hAnsi="Times New Roman" w:cs="Times New Roman"/>
          <w:sz w:val="24"/>
          <w:szCs w:val="24"/>
          <w:lang w:val="es-ES"/>
        </w:rPr>
        <w:t>uedado obsoleto en virtud de la</w:t>
      </w:r>
      <w:r w:rsidR="00263C6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idea contemporánea de animar a los consumidores a plantear reclamaciones de escaso valor, máxime si las reclamaciones infundadas son </w:t>
      </w:r>
      <w:r w:rsidR="00731E42" w:rsidRPr="00222833">
        <w:rPr>
          <w:rFonts w:ascii="Times New Roman" w:hAnsi="Times New Roman" w:cs="Times New Roman"/>
          <w:sz w:val="24"/>
          <w:szCs w:val="24"/>
          <w:lang w:val="es-ES"/>
        </w:rPr>
        <w:t>eliminadas en una etapa inicial de selección.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E4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No obstante, </w:t>
      </w:r>
      <w:r w:rsidR="00120EA9">
        <w:rPr>
          <w:rFonts w:ascii="Times New Roman" w:hAnsi="Times New Roman" w:cs="Times New Roman"/>
          <w:sz w:val="24"/>
          <w:szCs w:val="24"/>
          <w:lang w:val="es-ES"/>
        </w:rPr>
        <w:t xml:space="preserve">es cierto que cabría argumentar que </w:t>
      </w:r>
      <w:r w:rsidR="00731E4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exigencia de una módica tasa en algunos casos es una barrera racional que </w:t>
      </w:r>
      <w:r w:rsidR="00120EA9">
        <w:rPr>
          <w:rFonts w:ascii="Times New Roman" w:hAnsi="Times New Roman" w:cs="Times New Roman"/>
          <w:sz w:val="24"/>
          <w:szCs w:val="24"/>
          <w:lang w:val="es-ES"/>
        </w:rPr>
        <w:t>invita</w:t>
      </w:r>
      <w:r w:rsidR="00731E4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 los consumidores a reducir reclamaciones infladas a niveles más razonables. </w:t>
      </w:r>
    </w:p>
    <w:p w14:paraId="26BC96C2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F05B8E" w14:textId="169945CA" w:rsidR="00E86FB4" w:rsidRPr="00222833" w:rsidRDefault="00731E42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Pasar de un sistema basado en el arbitraje a uno </w:t>
      </w:r>
      <w:r w:rsidR="00E95CBD" w:rsidRPr="00222833">
        <w:rPr>
          <w:rFonts w:ascii="Times New Roman" w:hAnsi="Times New Roman" w:cs="Times New Roman"/>
          <w:sz w:val="24"/>
          <w:szCs w:val="24"/>
          <w:lang w:val="es-ES"/>
        </w:rPr>
        <w:t>basado en la figura del defensor del consumidor, en el que personal encargado de la tramitación sele</w:t>
      </w:r>
      <w:r w:rsidR="001A5D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cciona casos, </w:t>
      </w:r>
      <w:r w:rsidR="00120EA9">
        <w:rPr>
          <w:rFonts w:ascii="Times New Roman" w:hAnsi="Times New Roman" w:cs="Times New Roman"/>
          <w:sz w:val="24"/>
          <w:szCs w:val="24"/>
          <w:lang w:val="es-ES"/>
        </w:rPr>
        <w:t>reparte</w:t>
      </w:r>
      <w:r w:rsidR="001A5D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asuntos </w:t>
      </w:r>
      <w:r w:rsidR="00120EA9">
        <w:rPr>
          <w:rFonts w:ascii="Times New Roman" w:hAnsi="Times New Roman" w:cs="Times New Roman"/>
          <w:sz w:val="24"/>
          <w:szCs w:val="24"/>
          <w:lang w:val="es-ES"/>
        </w:rPr>
        <w:t>entre varias</w:t>
      </w:r>
      <w:r w:rsidR="001A5D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5CBD" w:rsidRPr="00222833">
        <w:rPr>
          <w:rFonts w:ascii="Times New Roman" w:hAnsi="Times New Roman" w:cs="Times New Roman"/>
          <w:sz w:val="24"/>
          <w:szCs w:val="24"/>
          <w:lang w:val="es-ES"/>
        </w:rPr>
        <w:t>ví</w:t>
      </w:r>
      <w:r w:rsidR="00F553A5">
        <w:rPr>
          <w:rFonts w:ascii="Times New Roman" w:hAnsi="Times New Roman" w:cs="Times New Roman"/>
          <w:sz w:val="24"/>
          <w:szCs w:val="24"/>
          <w:lang w:val="es-ES"/>
        </w:rPr>
        <w:t>as o cauces (</w:t>
      </w:r>
      <w:r w:rsidR="00E95CBD" w:rsidRPr="00222833">
        <w:rPr>
          <w:rFonts w:ascii="Times New Roman" w:hAnsi="Times New Roman" w:cs="Times New Roman"/>
          <w:sz w:val="24"/>
          <w:szCs w:val="24"/>
          <w:lang w:val="es-ES"/>
        </w:rPr>
        <w:t>dependiendo de su complejidad y necesidad de conocimientos especializados</w:t>
      </w:r>
      <w:r w:rsidR="00F553A5">
        <w:rPr>
          <w:rFonts w:ascii="Times New Roman" w:hAnsi="Times New Roman" w:cs="Times New Roman"/>
          <w:sz w:val="24"/>
          <w:szCs w:val="24"/>
          <w:lang w:val="es-ES"/>
        </w:rPr>
        <w:t>),</w:t>
      </w:r>
      <w:r w:rsidR="00E95CB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utiliza técnicas de mediación/conciliación y, </w:t>
      </w:r>
      <w:r w:rsidR="00F553A5">
        <w:rPr>
          <w:rFonts w:ascii="Times New Roman" w:hAnsi="Times New Roman" w:cs="Times New Roman"/>
          <w:sz w:val="24"/>
          <w:szCs w:val="24"/>
          <w:lang w:val="es-ES"/>
        </w:rPr>
        <w:t>al final</w:t>
      </w:r>
      <w:r w:rsidR="00E95CBD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dicta una resolución. </w:t>
      </w:r>
      <w:r w:rsidR="001A5D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idea es que </w:t>
      </w:r>
      <w:r w:rsidR="00F553A5">
        <w:rPr>
          <w:rFonts w:ascii="Times New Roman" w:hAnsi="Times New Roman" w:cs="Times New Roman"/>
          <w:sz w:val="24"/>
          <w:szCs w:val="24"/>
          <w:lang w:val="es-ES"/>
        </w:rPr>
        <w:t>hay casos que pueden</w:t>
      </w:r>
      <w:r w:rsidR="001A5D1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resolverse más rápidamente que otros, por lo que resulta útil disponer de varias vías posibles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EF53093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F555702" w14:textId="3DAED789" w:rsidR="00E86FB4" w:rsidRPr="00222833" w:rsidRDefault="001A5D15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Externalización de ciertos tipos de casos como, por ejemplo, los que impliquen una gran complejidad técnica.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31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Así, un país pequeño podría derivar litigios en materia de servicios financieros, telecomunicaciones o líneas aéreas a un organismo de RLC situado en otro país con experiencia </w:t>
      </w:r>
      <w:r w:rsidR="002611D5" w:rsidRPr="00222833">
        <w:rPr>
          <w:rFonts w:ascii="Times New Roman" w:hAnsi="Times New Roman" w:cs="Times New Roman"/>
          <w:sz w:val="24"/>
          <w:szCs w:val="24"/>
          <w:lang w:val="es-ES"/>
        </w:rPr>
        <w:t>concreta</w:t>
      </w:r>
      <w:r w:rsidR="00DE31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 el sector. </w:t>
      </w:r>
    </w:p>
    <w:p w14:paraId="67F7DF3C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3BF623" w14:textId="183D25E9" w:rsidR="00E86FB4" w:rsidRPr="00222833" w:rsidRDefault="00DE31BE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Incrementar el número de comerciantes que aceptan la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con carácter vinculante</w:t>
      </w:r>
      <w:r w:rsidR="006E7C4B" w:rsidRPr="00222833">
        <w:rPr>
          <w:rFonts w:ascii="Times New Roman" w:hAnsi="Times New Roman" w:cs="Times New Roman"/>
          <w:sz w:val="24"/>
          <w:szCs w:val="24"/>
          <w:lang w:val="es-ES"/>
        </w:rPr>
        <w:t>, por ejemplo convenciéndoles para que se adhieran voluntariamente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E7C4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especialmente como compromiso general previo, </w:t>
      </w:r>
      <w:r w:rsidR="002611D5" w:rsidRPr="00222833">
        <w:rPr>
          <w:rFonts w:ascii="Times New Roman" w:hAnsi="Times New Roman" w:cs="Times New Roman"/>
          <w:sz w:val="24"/>
          <w:szCs w:val="24"/>
          <w:lang w:val="es-ES"/>
        </w:rPr>
        <w:t>o respaldados por la garantía de una asociación de comerciantes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3"/>
      </w:r>
      <w:r w:rsidR="002611D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 dictando una disposición legal por la que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11D5" w:rsidRPr="00222833">
        <w:rPr>
          <w:rFonts w:ascii="Times New Roman" w:hAnsi="Times New Roman" w:cs="Times New Roman"/>
          <w:sz w:val="24"/>
          <w:szCs w:val="24"/>
          <w:lang w:val="es-ES"/>
        </w:rPr>
        <w:t>las recomendaciones de un organismo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11D5" w:rsidRPr="00222833">
        <w:rPr>
          <w:rFonts w:ascii="Times New Roman" w:hAnsi="Times New Roman" w:cs="Times New Roman"/>
          <w:sz w:val="24"/>
          <w:szCs w:val="24"/>
          <w:lang w:val="es-ES"/>
        </w:rPr>
        <w:t>aceptadas por el consumidor resultarán vinculantes para el comerciante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4"/>
      </w:r>
    </w:p>
    <w:p w14:paraId="365E616D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DCC5BBA" w14:textId="28FC24FF" w:rsidR="00E86FB4" w:rsidRPr="00222833" w:rsidRDefault="008168C6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Construcción de un completo sistema de resolución de conflictos para todo tipo de litigios, </w:t>
      </w:r>
      <w:r w:rsidR="00B01AE1">
        <w:rPr>
          <w:rFonts w:ascii="Times New Roman" w:hAnsi="Times New Roman" w:cs="Times New Roman"/>
          <w:sz w:val="24"/>
          <w:szCs w:val="24"/>
          <w:lang w:val="es-ES"/>
        </w:rPr>
        <w:t>como por ejemplo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 materia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sanidad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5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educación y reclamaciones contra los organismos públicos. </w:t>
      </w:r>
    </w:p>
    <w:p w14:paraId="03E7D334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F9E2331" w14:textId="67038876" w:rsidR="00E86FB4" w:rsidRPr="00222833" w:rsidRDefault="008168C6" w:rsidP="005A422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Construcción de sistemas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fuera de la UE</w:t>
      </w:r>
      <w:r w:rsidR="0042798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por ejemplo en relación con modalidades concretas de reclamación como los viajes/turismo y el comercio electrónico. Así, sería importante establecer </w:t>
      </w:r>
      <w:r w:rsidR="00B01AE1">
        <w:rPr>
          <w:rFonts w:ascii="Times New Roman" w:hAnsi="Times New Roman" w:cs="Times New Roman"/>
          <w:sz w:val="24"/>
          <w:szCs w:val="24"/>
          <w:lang w:val="es-ES"/>
        </w:rPr>
        <w:t>lazos</w:t>
      </w:r>
      <w:r w:rsidR="0042798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entre la UE y China habida cuenta la reciente aparición de sistemas de RLC en dicho país asiático</w:t>
      </w:r>
      <w:r w:rsidR="00437F3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análogos a los existentes en la UE. </w:t>
      </w:r>
    </w:p>
    <w:p w14:paraId="20B8FC93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D950E69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BE4AEC" w14:textId="7347F00D" w:rsidR="00E86FB4" w:rsidRPr="00222833" w:rsidRDefault="00307C1C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Argumentos para el </w:t>
      </w:r>
      <w:r w:rsidR="00C02A08" w:rsidRPr="00222833">
        <w:rPr>
          <w:rFonts w:ascii="Times New Roman" w:hAnsi="Times New Roman" w:cs="Times New Roman"/>
          <w:b/>
          <w:sz w:val="24"/>
          <w:szCs w:val="24"/>
          <w:lang w:val="es-ES"/>
        </w:rPr>
        <w:t>respaldo</w:t>
      </w: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empresarial a los sistemas de</w:t>
      </w:r>
      <w:r w:rsidR="00E86FB4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b/>
          <w:sz w:val="24"/>
          <w:szCs w:val="24"/>
          <w:lang w:val="es-ES"/>
        </w:rPr>
        <w:t>RLC</w:t>
      </w:r>
    </w:p>
    <w:p w14:paraId="5A56D39F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64D306D" w14:textId="7D527376" w:rsidR="00E86FB4" w:rsidRPr="00222833" w:rsidRDefault="00437F3F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La expansión de los sistemas de RLC pasa por el respaldo que puedan brindar las empresas tanto al principio en el que se basan</w:t>
      </w:r>
      <w:r w:rsidR="00C02A08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esos sistemas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como a sus estructuras.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un número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>significativo de Estados Miembros</w:t>
      </w:r>
      <w:r w:rsidR="00F92729">
        <w:rPr>
          <w:rFonts w:ascii="Times New Roman" w:hAnsi="Times New Roman" w:cs="Times New Roman"/>
          <w:sz w:val="24"/>
          <w:szCs w:val="24"/>
          <w:lang w:val="es-ES"/>
        </w:rPr>
        <w:t xml:space="preserve"> de la UE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, las empresas brindan su to</w:t>
      </w:r>
      <w:r w:rsidR="00133EAC">
        <w:rPr>
          <w:rFonts w:ascii="Times New Roman" w:hAnsi="Times New Roman" w:cs="Times New Roman"/>
          <w:sz w:val="24"/>
          <w:szCs w:val="24"/>
          <w:lang w:val="es-ES"/>
        </w:rPr>
        <w:t>tal apoyo a los sistemas de RLC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. Algunas empresas desconocen la RLC o se muestran escépticas a la hora de </w:t>
      </w:r>
      <w:r w:rsidR="00133EAC">
        <w:rPr>
          <w:rFonts w:ascii="Times New Roman" w:hAnsi="Times New Roman" w:cs="Times New Roman"/>
          <w:sz w:val="24"/>
          <w:szCs w:val="24"/>
          <w:lang w:val="es-ES"/>
        </w:rPr>
        <w:t>darle su apoyo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adherirse a sus decisiones no vinculantes o financiarla. A continuación se ofrecen algunos </w:t>
      </w:r>
      <w:r w:rsidR="0057091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de los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argumentos</w:t>
      </w:r>
      <w:r w:rsidR="0057091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2A08" w:rsidRPr="00222833">
        <w:rPr>
          <w:rFonts w:ascii="Times New Roman" w:hAnsi="Times New Roman" w:cs="Times New Roman"/>
          <w:sz w:val="24"/>
          <w:szCs w:val="24"/>
          <w:lang w:val="es-ES"/>
        </w:rPr>
        <w:t>esgrimidos</w:t>
      </w:r>
      <w:r w:rsidR="0057091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por las empresas para apoyar los sistemas de RLC.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A47A6A1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9D050F1" w14:textId="2B4265F0" w:rsidR="00E86FB4" w:rsidRPr="00222833" w:rsidRDefault="005071E4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El coste de tramitar</w:t>
      </w:r>
      <w:r w:rsidR="006C713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conflictos por cauces de RLC es mucho más bajo del que resulta de </w:t>
      </w:r>
      <w:r w:rsidR="00133EAC">
        <w:rPr>
          <w:rFonts w:ascii="Times New Roman" w:hAnsi="Times New Roman" w:cs="Times New Roman"/>
          <w:sz w:val="24"/>
          <w:szCs w:val="24"/>
          <w:lang w:val="es-ES"/>
        </w:rPr>
        <w:t>implicar a</w:t>
      </w:r>
      <w:r w:rsidR="006C7139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órganos jurisdiccionales y abogados, siendo aquéllos ade</w:t>
      </w:r>
      <w:r w:rsidR="00133EAC">
        <w:rPr>
          <w:rFonts w:ascii="Times New Roman" w:hAnsi="Times New Roman" w:cs="Times New Roman"/>
          <w:sz w:val="24"/>
          <w:szCs w:val="24"/>
          <w:lang w:val="es-ES"/>
        </w:rPr>
        <w:t>más más ágiles y más flexibles.</w:t>
      </w:r>
    </w:p>
    <w:p w14:paraId="77BE2150" w14:textId="2D4D6D7F" w:rsidR="00E86FB4" w:rsidRPr="00222833" w:rsidRDefault="00B935DC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sistemas de RLC favorecen un nivel de </w:t>
      </w:r>
      <w:r w:rsidR="006C7139" w:rsidRPr="00222833">
        <w:rPr>
          <w:rFonts w:ascii="Times New Roman" w:hAnsi="Times New Roman" w:cs="Times New Roman"/>
          <w:sz w:val="24"/>
          <w:szCs w:val="24"/>
          <w:lang w:val="es-ES"/>
        </w:rPr>
        <w:t>fidelización del cliente más alto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en el caso de procedimientos basados en el principio contradictorio.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La idea central de la RLC es permitir a los clientes ob</w:t>
      </w:r>
      <w:r w:rsidR="00133EA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ener una respuesta personalizada y rápida a sus problemas. Los departamentos de atención al cliente y los órganos de RLC informan de que</w:t>
      </w:r>
      <w:r w:rsidR="00B80AFC" w:rsidRPr="00222833">
        <w:rPr>
          <w:rFonts w:ascii="Times New Roman" w:hAnsi="Times New Roman" w:cs="Times New Roman"/>
          <w:sz w:val="24"/>
          <w:szCs w:val="24"/>
          <w:lang w:val="es-ES"/>
        </w:rPr>
        <w:t>, con frecuencia,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clientes</w:t>
      </w:r>
      <w:r w:rsidR="00B80AF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sencillamente buscan consejo o ser escuchados. Por su parte, las entidades de RLC manifiestan que si tramitan bien las denuncias, la fidelidad del cliente al comerciante suele salir reforzada.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410EC41" w14:textId="2FC272DA" w:rsidR="00E86FB4" w:rsidRPr="00222833" w:rsidRDefault="00B80AFC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El buen comerciante desea mostrar su adhesión a órganos independientes</w:t>
      </w:r>
      <w:r w:rsidR="00CC550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evalúen su actuación en el mercado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8444C90" w14:textId="6AFDDBF4" w:rsidR="00E86FB4" w:rsidRPr="00222833" w:rsidRDefault="00033BCA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existencia de</w:t>
      </w:r>
      <w:r w:rsidR="00CC550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departamentos de atenci</w:t>
      </w:r>
      <w:r>
        <w:rPr>
          <w:rFonts w:ascii="Times New Roman" w:hAnsi="Times New Roman" w:cs="Times New Roman"/>
          <w:sz w:val="24"/>
          <w:szCs w:val="24"/>
          <w:lang w:val="es-ES"/>
        </w:rPr>
        <w:t>ón al cliente internos eficaces reduce la demanda</w:t>
      </w:r>
      <w:r w:rsidR="00CC550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RLC externa, por lo que el coste de mantener la infraestructura de órganos externos de RLC puede mantenerse baja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F39E6B5" w14:textId="4715A375" w:rsidR="00E86FB4" w:rsidRPr="00222833" w:rsidRDefault="00CC550B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externa </w:t>
      </w:r>
      <w:r w:rsidR="00185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ofrece </w:t>
      </w:r>
      <w:r w:rsidR="00033BCA">
        <w:rPr>
          <w:rFonts w:ascii="Times New Roman" w:hAnsi="Times New Roman" w:cs="Times New Roman"/>
          <w:sz w:val="24"/>
          <w:szCs w:val="24"/>
          <w:lang w:val="es-ES"/>
        </w:rPr>
        <w:t>un mecanismo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5FBE" w:rsidRPr="00222833">
        <w:rPr>
          <w:rFonts w:ascii="Times New Roman" w:hAnsi="Times New Roman" w:cs="Times New Roman"/>
          <w:sz w:val="24"/>
          <w:szCs w:val="24"/>
          <w:lang w:val="es-ES"/>
        </w:rPr>
        <w:t>para los cli</w:t>
      </w:r>
      <w:r w:rsidR="00033BCA">
        <w:rPr>
          <w:rFonts w:ascii="Times New Roman" w:hAnsi="Times New Roman" w:cs="Times New Roman"/>
          <w:sz w:val="24"/>
          <w:szCs w:val="24"/>
          <w:lang w:val="es-ES"/>
        </w:rPr>
        <w:t>entes</w:t>
      </w:r>
      <w:r w:rsidR="00185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no desean resolver un conflicto de manera razonable mediante negociación directa.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B54A903" w14:textId="5EDC01A8" w:rsidR="00E86FB4" w:rsidRPr="00222833" w:rsidRDefault="0075708B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Los sistemas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5FBE" w:rsidRPr="00222833">
        <w:rPr>
          <w:rFonts w:ascii="Times New Roman" w:hAnsi="Times New Roman" w:cs="Times New Roman"/>
          <w:sz w:val="24"/>
          <w:szCs w:val="24"/>
          <w:lang w:val="es-ES"/>
        </w:rPr>
        <w:t>puede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85FB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diseñarse para actuar como filtro para las reclamaciones infundadas.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9E4AA37" w14:textId="1A9D2099" w:rsidR="00E86FB4" w:rsidRPr="00222833" w:rsidRDefault="00100366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Hacer que la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resulte </w:t>
      </w:r>
      <w:r w:rsidR="00DD0A26">
        <w:rPr>
          <w:rFonts w:ascii="Times New Roman" w:hAnsi="Times New Roman" w:cs="Times New Roman"/>
          <w:sz w:val="24"/>
          <w:szCs w:val="24"/>
          <w:lang w:val="es-ES"/>
        </w:rPr>
        <w:t>aplicable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 todos los comerciantes puede contribuir a </w:t>
      </w:r>
      <w:r w:rsidR="0075708B">
        <w:rPr>
          <w:rFonts w:ascii="Times New Roman" w:hAnsi="Times New Roman" w:cs="Times New Roman"/>
          <w:sz w:val="24"/>
          <w:szCs w:val="24"/>
          <w:lang w:val="es-ES"/>
        </w:rPr>
        <w:t xml:space="preserve">generar </w:t>
      </w:r>
      <w:r w:rsidR="00E971D6">
        <w:rPr>
          <w:rFonts w:ascii="Times New Roman" w:hAnsi="Times New Roman" w:cs="Times New Roman"/>
          <w:sz w:val="24"/>
          <w:szCs w:val="24"/>
          <w:lang w:val="es-ES"/>
        </w:rPr>
        <w:t xml:space="preserve">un terreno de juego equilibrado, permitiendo que los incumplidores sean identificados más fácilmente, adoptando medidas contra ellos, en beneficio de los que sí cumplen. </w:t>
      </w:r>
    </w:p>
    <w:p w14:paraId="2462B675" w14:textId="1A448EF3" w:rsidR="00E86FB4" w:rsidRPr="00222833" w:rsidRDefault="00100366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La disponibilidad de</w:t>
      </w:r>
      <w:r w:rsidR="007E55FB">
        <w:rPr>
          <w:rFonts w:ascii="Times New Roman" w:hAnsi="Times New Roman" w:cs="Times New Roman"/>
          <w:sz w:val="24"/>
          <w:szCs w:val="24"/>
          <w:lang w:val="es-ES"/>
        </w:rPr>
        <w:t xml:space="preserve"> mecanismos de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RLC </w:t>
      </w:r>
      <w:r w:rsidR="007E55FB">
        <w:rPr>
          <w:rFonts w:ascii="Times New Roman" w:hAnsi="Times New Roman" w:cs="Times New Roman"/>
          <w:sz w:val="24"/>
          <w:szCs w:val="24"/>
          <w:lang w:val="es-ES"/>
        </w:rPr>
        <w:t>eficaces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permitirá la tramitación de múltiples reclamaciones similares, reduciendo así la necesidad de acciones de clase.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9FE5C00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E1C605D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0EC0E9C" w14:textId="2C39D94B" w:rsidR="00E86FB4" w:rsidRPr="00222833" w:rsidRDefault="0057091F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Financiación</w:t>
      </w:r>
    </w:p>
    <w:p w14:paraId="063C68F7" w14:textId="77777777" w:rsidR="004916E7" w:rsidRPr="00222833" w:rsidRDefault="004916E7" w:rsidP="005A42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F93AA1" w14:textId="1A2D3058" w:rsidR="00E86FB4" w:rsidRPr="00222833" w:rsidRDefault="00C90CFA" w:rsidP="005A42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Algunos Estados Miembros como los países nórdicos y los Países Bajos han considerado </w:t>
      </w:r>
      <w:r w:rsidR="007E55FB">
        <w:rPr>
          <w:rFonts w:ascii="Times New Roman" w:hAnsi="Times New Roman" w:cs="Times New Roman"/>
          <w:sz w:val="24"/>
          <w:szCs w:val="24"/>
          <w:lang w:val="es-ES"/>
        </w:rPr>
        <w:t>tradicionalmente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que el coste de las entidades residuales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44D4">
        <w:rPr>
          <w:rFonts w:ascii="Times New Roman" w:hAnsi="Times New Roman" w:cs="Times New Roman"/>
          <w:sz w:val="24"/>
          <w:szCs w:val="24"/>
          <w:lang w:val="es-ES"/>
        </w:rPr>
        <w:t>debe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ser financiado por el estado, idea que </w:t>
      </w:r>
      <w:r w:rsidR="006529D6">
        <w:rPr>
          <w:rFonts w:ascii="Times New Roman" w:hAnsi="Times New Roman" w:cs="Times New Roman"/>
          <w:sz w:val="24"/>
          <w:szCs w:val="24"/>
          <w:lang w:val="es-ES"/>
        </w:rPr>
        <w:t xml:space="preserve">cuadra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con el hecho de que son los estados quienes, en gran parte, financian los juzgados y tribunales. La financiación consensuada y los sistemas de RLC ágiles </w:t>
      </w:r>
      <w:r w:rsidR="006529D6">
        <w:rPr>
          <w:rFonts w:ascii="Times New Roman" w:hAnsi="Times New Roman" w:cs="Times New Roman"/>
          <w:sz w:val="24"/>
          <w:szCs w:val="24"/>
          <w:lang w:val="es-ES"/>
        </w:rPr>
        <w:t>aportan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varios beneficios sociales y económicos. Sin embargo, no todos los gobiernos están dispuestos a gastar dinero público en RLC</w:t>
      </w:r>
      <w:r w:rsidR="00FB347E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y, en Holanda, la financiación es como mínimo reducida. </w:t>
      </w:r>
    </w:p>
    <w:p w14:paraId="764B2906" w14:textId="77777777" w:rsidR="00E86FB4" w:rsidRPr="00222833" w:rsidRDefault="00E86FB4" w:rsidP="005A42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71B2CE" w14:textId="1BE2CF9E" w:rsidR="00E86FB4" w:rsidRPr="00222833" w:rsidRDefault="00FB347E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2E7B00">
        <w:rPr>
          <w:rFonts w:ascii="Times New Roman" w:hAnsi="Times New Roman" w:cs="Times New Roman"/>
          <w:sz w:val="24"/>
          <w:szCs w:val="24"/>
          <w:lang w:val="es-ES"/>
        </w:rPr>
        <w:t>son los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comerciantes </w:t>
      </w:r>
      <w:r w:rsidR="002E7B00">
        <w:rPr>
          <w:rFonts w:ascii="Times New Roman" w:hAnsi="Times New Roman" w:cs="Times New Roman"/>
          <w:sz w:val="24"/>
          <w:szCs w:val="24"/>
          <w:lang w:val="es-ES"/>
        </w:rPr>
        <w:t>quienes deben pagar una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cuota ¿cómo puede</w:t>
      </w:r>
      <w:r w:rsidR="00DD5F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dotarse a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DD5F3C" w:rsidRPr="00222833">
        <w:rPr>
          <w:rFonts w:ascii="Times New Roman" w:hAnsi="Times New Roman" w:cs="Times New Roman"/>
          <w:sz w:val="24"/>
          <w:szCs w:val="24"/>
          <w:lang w:val="es-ES"/>
        </w:rPr>
        <w:t>organismos voluntarios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D5F3C" w:rsidRPr="0022283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facultad de compeler a los </w:t>
      </w:r>
      <w:r w:rsidR="00DD5F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no socios para que se den de alta o </w:t>
      </w:r>
      <w:r w:rsidR="002E7B00">
        <w:rPr>
          <w:rFonts w:ascii="Times New Roman" w:hAnsi="Times New Roman" w:cs="Times New Roman"/>
          <w:sz w:val="24"/>
          <w:szCs w:val="24"/>
          <w:lang w:val="es-ES"/>
        </w:rPr>
        <w:t>paguen los costes del organismo</w:t>
      </w:r>
      <w:r w:rsidR="00DD5F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DD5F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2E7B00">
        <w:rPr>
          <w:rFonts w:ascii="Times New Roman" w:hAnsi="Times New Roman" w:cs="Times New Roman"/>
          <w:sz w:val="24"/>
          <w:szCs w:val="24"/>
          <w:lang w:val="es-ES"/>
        </w:rPr>
        <w:t>lograrlo</w:t>
      </w:r>
      <w:r w:rsidR="00DD5F3C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hay tres opciones: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0E56AC4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3DCA8E" w14:textId="4C4B8EBE" w:rsidR="00E86FB4" w:rsidRPr="00222833" w:rsidRDefault="00DD5F3C" w:rsidP="005A422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Presentación de una factura por parte </w:t>
      </w:r>
      <w:r w:rsidR="002E7B00">
        <w:rPr>
          <w:rFonts w:ascii="Times New Roman" w:hAnsi="Times New Roman" w:cs="Times New Roman"/>
          <w:sz w:val="24"/>
          <w:szCs w:val="24"/>
          <w:lang w:val="es-ES"/>
        </w:rPr>
        <w:t>del órgano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. Sin embargo, la solución no es satisfactoria ya que el comerciante perdedor</w:t>
      </w:r>
      <w:r w:rsidR="00A91B3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o los pequeños comerciantes independientes podrían no pagar lo que, de generalizarse, podría causar el colapso </w:t>
      </w:r>
      <w:r w:rsidR="00A91B37" w:rsidRPr="00222833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financiero del organismo. Además, no </w:t>
      </w:r>
      <w:r w:rsidR="002E7B0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A91B37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justo que los comerciantes honestos subvencionasen a los infractores. </w:t>
      </w:r>
    </w:p>
    <w:p w14:paraId="59906C0C" w14:textId="6ADE159E" w:rsidR="00E86FB4" w:rsidRPr="00222833" w:rsidRDefault="00EE2355" w:rsidP="005A422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Podría establecerse por ley que las costas de los organismos de RLC autorizados serán resarcibles como deuda, quizá mediante un procedimiento rápido, y que el comerciante</w:t>
      </w:r>
      <w:r w:rsidR="00992316">
        <w:rPr>
          <w:rFonts w:ascii="Times New Roman" w:hAnsi="Times New Roman" w:cs="Times New Roman"/>
          <w:sz w:val="24"/>
          <w:szCs w:val="24"/>
          <w:lang w:val="es-ES"/>
        </w:rPr>
        <w:t xml:space="preserve"> no adherido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será</w:t>
      </w:r>
      <w:r w:rsidR="002E7B00">
        <w:rPr>
          <w:rFonts w:ascii="Times New Roman" w:hAnsi="Times New Roman" w:cs="Times New Roman"/>
          <w:sz w:val="24"/>
          <w:szCs w:val="24"/>
          <w:lang w:val="es-ES"/>
        </w:rPr>
        <w:t xml:space="preserve"> "identificado y señalado".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Esta opción resulta una mejora sobre la anterior</w:t>
      </w:r>
      <w:r w:rsidR="00C0695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pero sigue comportando un inaceptable nivel de no adhesión y costes de cobro por parte de las entidades de RLC.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695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Una variante de este enfoque sería la </w:t>
      </w:r>
      <w:r w:rsidR="00992316">
        <w:rPr>
          <w:rFonts w:ascii="Times New Roman" w:hAnsi="Times New Roman" w:cs="Times New Roman"/>
          <w:sz w:val="24"/>
          <w:szCs w:val="24"/>
          <w:lang w:val="es-ES"/>
        </w:rPr>
        <w:t>aprobación</w:t>
      </w:r>
      <w:r w:rsidR="00C0695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un número determinado de ó</w:t>
      </w:r>
      <w:r w:rsidR="00992316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C0695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ganos de RLC con facultades para exigir el cobro de </w:t>
      </w:r>
      <w:r w:rsidR="009A248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una tasa (esta opción podría funcionar bien el Reino Unido). </w:t>
      </w:r>
    </w:p>
    <w:p w14:paraId="148DE69F" w14:textId="52A40F6F" w:rsidR="00E86FB4" w:rsidRPr="00222833" w:rsidRDefault="009A2481" w:rsidP="005A422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El organismo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podría exigir la constitución de una fianza al comerciante antes de tramitar el asunto (esta solución podría funcionar bien en los Países Bajos). </w:t>
      </w:r>
    </w:p>
    <w:p w14:paraId="22D52892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22AF571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6823577" w14:textId="5FB9A67C" w:rsidR="00E86FB4" w:rsidRPr="00222833" w:rsidRDefault="0057091F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¿Deben las decisiones </w:t>
      </w:r>
      <w:r w:rsidR="00DC16B1" w:rsidRPr="00222833">
        <w:rPr>
          <w:rFonts w:ascii="Times New Roman" w:hAnsi="Times New Roman" w:cs="Times New Roman"/>
          <w:b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tener carácter vinculante</w:t>
      </w:r>
      <w:r w:rsidR="00E86FB4" w:rsidRPr="00222833">
        <w:rPr>
          <w:rFonts w:ascii="Times New Roman" w:hAnsi="Times New Roman" w:cs="Times New Roman"/>
          <w:b/>
          <w:sz w:val="24"/>
          <w:szCs w:val="24"/>
          <w:lang w:val="es-ES"/>
        </w:rPr>
        <w:t>?</w:t>
      </w:r>
    </w:p>
    <w:p w14:paraId="56937637" w14:textId="77777777" w:rsidR="004916E7" w:rsidRPr="00222833" w:rsidRDefault="004916E7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49FA90" w14:textId="60CAB76F" w:rsidR="00E86FB4" w:rsidRPr="00222833" w:rsidRDefault="00E63DE5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Como es bien sabido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el acceso de los ciudadanos a los tribunales no puede ser denegado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6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7752" w:rsidRPr="00222833">
        <w:rPr>
          <w:rFonts w:ascii="Times New Roman" w:hAnsi="Times New Roman" w:cs="Times New Roman"/>
          <w:sz w:val="24"/>
          <w:szCs w:val="24"/>
          <w:lang w:val="es-ES"/>
        </w:rPr>
        <w:t>y se halla consagrado en la Directiva 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7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34F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Ello significa que el sistema vigente en EEUU de permitir que los consumidores </w:t>
      </w:r>
      <w:r w:rsidR="00992316">
        <w:rPr>
          <w:rFonts w:ascii="Times New Roman" w:hAnsi="Times New Roman" w:cs="Times New Roman"/>
          <w:sz w:val="24"/>
          <w:szCs w:val="24"/>
          <w:lang w:val="es-ES"/>
        </w:rPr>
        <w:t>vengan obligados a</w:t>
      </w:r>
      <w:r w:rsidR="009434F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someter sus conflictos a arbitraje (o a cualquier proceso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RAL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F54F9C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8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34F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al realizar una compra es contrario a los derechos fundamentales europeos. La justificación </w:t>
      </w:r>
      <w:r w:rsidR="00344F02" w:rsidRPr="00222833">
        <w:rPr>
          <w:rFonts w:ascii="Times New Roman" w:hAnsi="Times New Roman" w:cs="Times New Roman"/>
          <w:sz w:val="24"/>
          <w:szCs w:val="24"/>
          <w:lang w:val="es-ES"/>
        </w:rPr>
        <w:t>radica en la protección de la asimetría que existe entre</w:t>
      </w:r>
      <w:r w:rsidR="00DA70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consumidores y las concentraciones de poder mayores.</w:t>
      </w:r>
      <w:r w:rsidR="009434F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D1E221B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80F3DB2" w14:textId="5104CC26" w:rsidR="00E86FB4" w:rsidRPr="00222833" w:rsidRDefault="0048715F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Así </w:t>
      </w:r>
      <w:r w:rsidR="00DA70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pues, ¿cómo pueden hacerse vinculantes las resoluciones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7061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Europa? Las tres opciones generales son las siguientes: </w:t>
      </w:r>
    </w:p>
    <w:p w14:paraId="7BBED856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37E530D" w14:textId="6EB2E539" w:rsidR="00E86FB4" w:rsidRPr="00222833" w:rsidRDefault="00DA7061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Una vez surgida la disputa, el consumidor y el comerciante </w:t>
      </w:r>
      <w:proofErr w:type="spellStart"/>
      <w:r w:rsidRPr="00222833">
        <w:rPr>
          <w:rFonts w:ascii="Times New Roman" w:hAnsi="Times New Roman" w:cs="Times New Roman"/>
          <w:sz w:val="24"/>
          <w:szCs w:val="24"/>
          <w:lang w:val="es-ES"/>
        </w:rPr>
        <w:t>puden</w:t>
      </w:r>
      <w:proofErr w:type="spellEnd"/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acordar someterse a arbitraje con resultado vinculante. Se trata de una técnica conocida, si bien algo anticuada y puede resultar cada vez menos atractiva para los consumidores contemporáneos. </w:t>
      </w:r>
    </w:p>
    <w:p w14:paraId="004504A6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2D00F7F" w14:textId="13893491" w:rsidR="00E86FB4" w:rsidRPr="00222833" w:rsidRDefault="00C0004B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Las recomendaciones de los organismos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no son legalmente vinculantes, si bien la cultura es de adhesión fuerte (</w:t>
      </w:r>
      <w:r w:rsidR="0048715F">
        <w:rPr>
          <w:rFonts w:ascii="Times New Roman" w:hAnsi="Times New Roman" w:cs="Times New Roman"/>
          <w:sz w:val="24"/>
          <w:szCs w:val="24"/>
          <w:lang w:val="es-ES"/>
        </w:rPr>
        <w:t>situación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mayoritaria en los países nórdicos). La adhesión puede </w:t>
      </w:r>
      <w:r w:rsidR="00620E31">
        <w:rPr>
          <w:rFonts w:ascii="Times New Roman" w:hAnsi="Times New Roman" w:cs="Times New Roman"/>
          <w:sz w:val="24"/>
          <w:szCs w:val="24"/>
          <w:lang w:val="es-ES"/>
        </w:rPr>
        <w:t>incrementarse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A5B" w:rsidRPr="00222833">
        <w:rPr>
          <w:rFonts w:ascii="Times New Roman" w:hAnsi="Times New Roman" w:cs="Times New Roman"/>
          <w:sz w:val="24"/>
          <w:szCs w:val="24"/>
          <w:lang w:val="es-ES"/>
        </w:rPr>
        <w:t>identificando a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comerciantes no adheridos</w:t>
      </w:r>
      <w:r w:rsidR="00CC5A5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en los medios de comunicación, como sucede en Suecia donde se informa al comerciante que su nombre podrá ser publicado (lo que motiva a muchos a </w:t>
      </w:r>
      <w:r w:rsidR="00620E31">
        <w:rPr>
          <w:rFonts w:ascii="Times New Roman" w:hAnsi="Times New Roman" w:cs="Times New Roman"/>
          <w:sz w:val="24"/>
          <w:szCs w:val="24"/>
          <w:lang w:val="es-ES"/>
        </w:rPr>
        <w:t>acatar</w:t>
      </w:r>
      <w:r w:rsidR="00CC5A5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decisión del organismo de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CC5A5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14:paraId="32EF6803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575FA1B" w14:textId="008806D9" w:rsidR="00E86FB4" w:rsidRPr="00222833" w:rsidRDefault="00CC5A5B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Las recomendaciones de los organismos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no son legalmente vinculantes pero los comerciantes acceden</w:t>
      </w:r>
      <w:r w:rsidR="00493773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previamente a aceptar la decisión. </w:t>
      </w:r>
    </w:p>
    <w:p w14:paraId="3A08AE6F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189CE1" w14:textId="788F6D15" w:rsidR="00E86FB4" w:rsidRPr="00222833" w:rsidRDefault="00493773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Las asociaciones de comerciantes </w:t>
      </w:r>
      <w:r w:rsidR="00281A3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avalan a sus miembros en caso de impago, como sucede en los Países Bajos. Esta solución resulta atractiva puesto que genera plena confianza en los consumidores y brinda </w:t>
      </w:r>
      <w:r w:rsidR="00523917">
        <w:rPr>
          <w:rFonts w:ascii="Times New Roman" w:hAnsi="Times New Roman" w:cs="Times New Roman"/>
          <w:sz w:val="24"/>
          <w:szCs w:val="24"/>
          <w:lang w:val="es-ES"/>
        </w:rPr>
        <w:t>un mecanismo auto-regulador con fuerte presión</w:t>
      </w:r>
      <w:r w:rsidR="00994C2B">
        <w:rPr>
          <w:rFonts w:ascii="Times New Roman" w:hAnsi="Times New Roman" w:cs="Times New Roman"/>
          <w:sz w:val="24"/>
          <w:szCs w:val="24"/>
          <w:lang w:val="es-ES"/>
        </w:rPr>
        <w:t xml:space="preserve"> entre empresas.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D476BA9" w14:textId="77777777" w:rsidR="00E86FB4" w:rsidRPr="00222833" w:rsidRDefault="00E86FB4" w:rsidP="005A4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F9F90D" w14:textId="1F79715F" w:rsidR="00E86FB4" w:rsidRPr="00222833" w:rsidRDefault="00281A35" w:rsidP="005A42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La decisión del organismo de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resulta vinculante por ley si el consumidor lo acepta. Esta es la solución adoptada en el Reino Unido</w:t>
      </w:r>
      <w:r w:rsidR="00E62C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para los </w:t>
      </w:r>
      <w:proofErr w:type="spellStart"/>
      <w:r w:rsidR="00E62C3A" w:rsidRPr="00222833">
        <w:rPr>
          <w:rFonts w:ascii="Times New Roman" w:hAnsi="Times New Roman" w:cs="Times New Roman"/>
          <w:i/>
          <w:sz w:val="24"/>
          <w:szCs w:val="24"/>
          <w:lang w:val="es-ES"/>
        </w:rPr>
        <w:t>ombudsmen</w:t>
      </w:r>
      <w:proofErr w:type="spellEnd"/>
      <w:r w:rsidR="00E62C3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legalmente obligatorios, como los que existen en los sectores de los servicios financieros, pensiones y abogados.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2C3A" w:rsidRPr="00222833">
        <w:rPr>
          <w:rFonts w:ascii="Times New Roman" w:hAnsi="Times New Roman" w:cs="Times New Roman"/>
          <w:sz w:val="24"/>
          <w:szCs w:val="24"/>
          <w:lang w:val="es-ES"/>
        </w:rPr>
        <w:t>Las impugnaciones basadas en que los derechos de las empresas han resultado perjudicados por ello no han prosperado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9"/>
      </w:r>
    </w:p>
    <w:p w14:paraId="2BD44C94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A8A8FFA" w14:textId="3F109C93" w:rsidR="00E86FB4" w:rsidRPr="00222833" w:rsidRDefault="00E62C3A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En algunos países la respuesta puede </w:t>
      </w:r>
      <w:r w:rsidR="00872E75" w:rsidRPr="00222833">
        <w:rPr>
          <w:rFonts w:ascii="Times New Roman" w:hAnsi="Times New Roman" w:cs="Times New Roman"/>
          <w:sz w:val="24"/>
          <w:szCs w:val="24"/>
          <w:lang w:val="es-ES"/>
        </w:rPr>
        <w:t>pasar por evolucionar por etapas.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75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Por ejemplo, en una primera fase podría crearse una red de organismos de RLC interconectados que satisfagan formalmente los requisitos de </w:t>
      </w:r>
      <w:r w:rsidR="00DD2012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la Directiva. Simultáneamente o más adelante podría realizarse la fusión o la racionalización de organismos de RLC individuales en una estructura más </w:t>
      </w:r>
      <w:r w:rsidR="007A5ABC">
        <w:rPr>
          <w:rFonts w:ascii="Times New Roman" w:hAnsi="Times New Roman" w:cs="Times New Roman"/>
          <w:sz w:val="24"/>
          <w:szCs w:val="24"/>
          <w:lang w:val="es-ES"/>
        </w:rPr>
        <w:t>estrecha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D2012" w:rsidRPr="00222833">
        <w:rPr>
          <w:rFonts w:ascii="Times New Roman" w:hAnsi="Times New Roman" w:cs="Times New Roman"/>
          <w:sz w:val="24"/>
          <w:szCs w:val="24"/>
          <w:lang w:val="es-ES"/>
        </w:rPr>
        <w:t>más coherente y más fácil para los consumidores.</w:t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35CB" w:rsidRPr="00222833">
        <w:rPr>
          <w:rFonts w:ascii="Times New Roman" w:hAnsi="Times New Roman" w:cs="Times New Roman"/>
          <w:sz w:val="24"/>
          <w:szCs w:val="24"/>
          <w:lang w:val="es-ES"/>
        </w:rPr>
        <w:t>Una fase posterior sería revisar la ley o</w:t>
      </w:r>
      <w:r w:rsidR="00B5571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 práctica de los acuerdos </w:t>
      </w:r>
      <w:r w:rsidR="007A5ABC">
        <w:rPr>
          <w:rFonts w:ascii="Times New Roman" w:hAnsi="Times New Roman" w:cs="Times New Roman"/>
          <w:sz w:val="24"/>
          <w:szCs w:val="24"/>
          <w:lang w:val="es-ES"/>
        </w:rPr>
        <w:t>gracias a los cuales</w:t>
      </w:r>
      <w:r w:rsidR="00B5571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las recomendaciones finales son vinculantes para los comerciantes, de hecho o de derecho. </w:t>
      </w:r>
    </w:p>
    <w:p w14:paraId="00C224DE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0D1138" w14:textId="77777777" w:rsidR="00E86FB4" w:rsidRPr="00222833" w:rsidRDefault="00E86FB4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75A7082" w14:textId="082CED40" w:rsidR="00E86FB4" w:rsidRPr="00222833" w:rsidRDefault="009E4B7A" w:rsidP="00942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b/>
          <w:sz w:val="24"/>
          <w:szCs w:val="24"/>
          <w:lang w:val="es-ES"/>
        </w:rPr>
        <w:t>Cambio de cultura</w:t>
      </w:r>
    </w:p>
    <w:p w14:paraId="33469E4B" w14:textId="77777777" w:rsidR="00E12410" w:rsidRPr="00222833" w:rsidRDefault="00E12410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39ADE12" w14:textId="3298A847" w:rsidR="005A422F" w:rsidRPr="00222833" w:rsidRDefault="00B55716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El desarrollo de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RAL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16B1" w:rsidRPr="00222833">
        <w:rPr>
          <w:rFonts w:ascii="Times New Roman" w:hAnsi="Times New Roman" w:cs="Times New Roman"/>
          <w:sz w:val="24"/>
          <w:szCs w:val="24"/>
          <w:lang w:val="es-ES"/>
        </w:rPr>
        <w:t>RLC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7A5ABC">
        <w:rPr>
          <w:rFonts w:ascii="Times New Roman" w:hAnsi="Times New Roman" w:cs="Times New Roman"/>
          <w:sz w:val="24"/>
          <w:szCs w:val="24"/>
          <w:lang w:val="es-ES"/>
        </w:rPr>
        <w:t xml:space="preserve"> Europa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091F" w:rsidRPr="00222833">
        <w:rPr>
          <w:rFonts w:ascii="Times New Roman" w:hAnsi="Times New Roman" w:cs="Times New Roman"/>
          <w:sz w:val="24"/>
          <w:szCs w:val="24"/>
          <w:lang w:val="es-ES"/>
        </w:rPr>
        <w:t>puede considerarse una manifestación de los valores y la cohesión europeos.</w:t>
      </w:r>
      <w:r w:rsidR="00E1241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Un sistema de resolución de </w:t>
      </w:r>
      <w:r w:rsidR="00364E20" w:rsidRPr="00222833">
        <w:rPr>
          <w:rFonts w:ascii="Times New Roman" w:hAnsi="Times New Roman" w:cs="Times New Roman"/>
          <w:sz w:val="24"/>
          <w:szCs w:val="24"/>
          <w:lang w:val="es-ES"/>
        </w:rPr>
        <w:t>conflictos basado en el principio contencioso como el estadounidense</w:t>
      </w:r>
      <w:r w:rsidR="00E86FB4" w:rsidRPr="00222833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60"/>
      </w:r>
      <w:r w:rsidR="00E86FB4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4E20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puede generar una sociedad individualista, </w:t>
      </w:r>
      <w:r w:rsidR="00B1017F" w:rsidRPr="00222833">
        <w:rPr>
          <w:rFonts w:ascii="Times New Roman" w:hAnsi="Times New Roman" w:cs="Times New Roman"/>
          <w:sz w:val="24"/>
          <w:szCs w:val="24"/>
          <w:lang w:val="es-ES"/>
        </w:rPr>
        <w:t>argumentativa y dividida. Por el contrario, los sistemas basados en técnicas de</w:t>
      </w:r>
      <w:r w:rsidR="005A422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4635" w:rsidRPr="00222833">
        <w:rPr>
          <w:rFonts w:ascii="Times New Roman" w:hAnsi="Times New Roman" w:cs="Times New Roman"/>
          <w:sz w:val="24"/>
          <w:szCs w:val="24"/>
          <w:lang w:val="es-ES"/>
        </w:rPr>
        <w:t>RAL</w:t>
      </w:r>
      <w:r w:rsidR="005A422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017F" w:rsidRPr="00222833">
        <w:rPr>
          <w:rFonts w:ascii="Times New Roman" w:hAnsi="Times New Roman" w:cs="Times New Roman"/>
          <w:sz w:val="24"/>
          <w:szCs w:val="24"/>
          <w:lang w:val="es-ES"/>
        </w:rPr>
        <w:t>están pensados para que las partes resuelvan conjuntamente sus diferen</w:t>
      </w:r>
      <w:r w:rsidR="007A5ABC">
        <w:rPr>
          <w:rFonts w:ascii="Times New Roman" w:hAnsi="Times New Roman" w:cs="Times New Roman"/>
          <w:sz w:val="24"/>
          <w:szCs w:val="24"/>
          <w:lang w:val="es-ES"/>
        </w:rPr>
        <w:t>cias de manera rápida, amistosa y</w:t>
      </w:r>
      <w:r w:rsidR="00B1017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colaborativa</w:t>
      </w:r>
      <w:r w:rsidR="007A5AB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04A9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r w:rsidR="00506500">
        <w:rPr>
          <w:rFonts w:ascii="Times New Roman" w:hAnsi="Times New Roman" w:cs="Times New Roman"/>
          <w:sz w:val="24"/>
          <w:szCs w:val="24"/>
          <w:lang w:val="es-ES"/>
        </w:rPr>
        <w:t>planteamiento</w:t>
      </w:r>
      <w:r w:rsidR="00F04A9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650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F04A9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6500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506500">
        <w:rPr>
          <w:rFonts w:ascii="Times New Roman" w:hAnsi="Times New Roman" w:cs="Times New Roman"/>
          <w:i/>
          <w:sz w:val="24"/>
          <w:szCs w:val="24"/>
          <w:lang w:val="es-ES"/>
        </w:rPr>
        <w:t>quid</w:t>
      </w:r>
      <w:r w:rsidR="005065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04A9B" w:rsidRPr="00222833">
        <w:rPr>
          <w:rFonts w:ascii="Times New Roman" w:hAnsi="Times New Roman" w:cs="Times New Roman"/>
          <w:sz w:val="24"/>
          <w:szCs w:val="24"/>
          <w:lang w:val="es-ES"/>
        </w:rPr>
        <w:t>de la preferencia</w:t>
      </w:r>
      <w:r w:rsidR="00506500">
        <w:rPr>
          <w:rFonts w:ascii="Times New Roman" w:hAnsi="Times New Roman" w:cs="Times New Roman"/>
          <w:sz w:val="24"/>
          <w:szCs w:val="24"/>
          <w:lang w:val="es-ES"/>
        </w:rPr>
        <w:t xml:space="preserve"> manifestada por la UE</w:t>
      </w:r>
      <w:r w:rsidR="00F04A9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por los </w:t>
      </w:r>
      <w:r w:rsidR="007A5ABC">
        <w:rPr>
          <w:rFonts w:ascii="Times New Roman" w:hAnsi="Times New Roman" w:cs="Times New Roman"/>
          <w:sz w:val="24"/>
          <w:szCs w:val="24"/>
          <w:lang w:val="es-ES"/>
        </w:rPr>
        <w:t>sistemas</w:t>
      </w:r>
      <w:r w:rsidR="00F04A9B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E619C" w:rsidRPr="00222833">
        <w:rPr>
          <w:rFonts w:ascii="Times New Roman" w:hAnsi="Times New Roman" w:cs="Times New Roman"/>
          <w:sz w:val="24"/>
          <w:szCs w:val="24"/>
          <w:lang w:val="es-ES"/>
        </w:rPr>
        <w:t>RLC y entronca directamente con los ideales europeos de solidaridad en una economía de mercado.</w:t>
      </w:r>
      <w:r w:rsidR="005A422F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B6A8CAD" w14:textId="77777777" w:rsidR="005A422F" w:rsidRPr="00222833" w:rsidRDefault="005A422F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74C76D5" w14:textId="59BF1BA2" w:rsidR="00277F7A" w:rsidRPr="00222833" w:rsidRDefault="00F04A9B" w:rsidP="005A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833">
        <w:rPr>
          <w:rFonts w:ascii="Times New Roman" w:hAnsi="Times New Roman" w:cs="Times New Roman"/>
          <w:sz w:val="24"/>
          <w:szCs w:val="24"/>
          <w:lang w:val="es-ES"/>
        </w:rPr>
        <w:t>Los sistemas legales europeos están innovando en</w:t>
      </w:r>
      <w:r w:rsidR="00506500">
        <w:rPr>
          <w:rFonts w:ascii="Times New Roman" w:hAnsi="Times New Roman" w:cs="Times New Roman"/>
          <w:sz w:val="24"/>
          <w:szCs w:val="24"/>
          <w:lang w:val="es-ES"/>
        </w:rPr>
        <w:t xml:space="preserve"> sus técnicas, mecanismos, procedimientos y estructuras.</w:t>
      </w:r>
      <w:r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Los cambios son impulsados por fuerzas de mercado, especialmente por la necesidad de apoyar la confianza de los consumidores en los </w:t>
      </w:r>
      <w:r w:rsidR="004E34BA" w:rsidRPr="00222833">
        <w:rPr>
          <w:rFonts w:ascii="Times New Roman" w:hAnsi="Times New Roman" w:cs="Times New Roman"/>
          <w:sz w:val="24"/>
          <w:szCs w:val="24"/>
          <w:lang w:val="es-ES"/>
        </w:rPr>
        <w:t>comerciantes y en los mercados.</w:t>
      </w:r>
      <w:r w:rsidR="00D22D56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34BA" w:rsidRPr="00222833">
        <w:rPr>
          <w:rFonts w:ascii="Times New Roman" w:hAnsi="Times New Roman" w:cs="Times New Roman"/>
          <w:sz w:val="24"/>
          <w:szCs w:val="24"/>
          <w:lang w:val="es-ES"/>
        </w:rPr>
        <w:t xml:space="preserve">Los sistema de resolución de conflictos compiten entre sí motivados por criterios de facilidad de acceso, agilidad, coste y resultados. </w:t>
      </w:r>
    </w:p>
    <w:sectPr w:rsidR="00277F7A" w:rsidRPr="002228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CDC9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AAD0E" w14:textId="77777777" w:rsidR="0040506B" w:rsidRDefault="0040506B" w:rsidP="00245E7B">
      <w:pPr>
        <w:spacing w:after="0" w:line="240" w:lineRule="auto"/>
      </w:pPr>
      <w:r>
        <w:separator/>
      </w:r>
    </w:p>
  </w:endnote>
  <w:endnote w:type="continuationSeparator" w:id="0">
    <w:p w14:paraId="2EDC7B4F" w14:textId="77777777" w:rsidR="0040506B" w:rsidRDefault="0040506B" w:rsidP="002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6303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A319" w14:textId="77777777" w:rsidR="00120EA9" w:rsidRPr="00C96852" w:rsidRDefault="00120EA9">
        <w:pPr>
          <w:pStyle w:val="Footer"/>
          <w:jc w:val="center"/>
          <w:rPr>
            <w:rFonts w:ascii="Times New Roman" w:hAnsi="Times New Roman" w:cs="Times New Roman"/>
          </w:rPr>
        </w:pPr>
        <w:r w:rsidRPr="00C96852">
          <w:rPr>
            <w:rFonts w:ascii="Times New Roman" w:hAnsi="Times New Roman" w:cs="Times New Roman"/>
          </w:rPr>
          <w:fldChar w:fldCharType="begin"/>
        </w:r>
        <w:r w:rsidRPr="00C96852">
          <w:rPr>
            <w:rFonts w:ascii="Times New Roman" w:hAnsi="Times New Roman" w:cs="Times New Roman"/>
          </w:rPr>
          <w:instrText xml:space="preserve"> PAGE   \* MERGEFORMAT </w:instrText>
        </w:r>
        <w:r w:rsidRPr="00C96852">
          <w:rPr>
            <w:rFonts w:ascii="Times New Roman" w:hAnsi="Times New Roman" w:cs="Times New Roman"/>
          </w:rPr>
          <w:fldChar w:fldCharType="separate"/>
        </w:r>
        <w:r w:rsidR="00CC72E2">
          <w:rPr>
            <w:rFonts w:ascii="Times New Roman" w:hAnsi="Times New Roman" w:cs="Times New Roman"/>
            <w:noProof/>
          </w:rPr>
          <w:t>1</w:t>
        </w:r>
        <w:r w:rsidRPr="00C9685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0BF1B6" w14:textId="77777777" w:rsidR="00120EA9" w:rsidRPr="00C96852" w:rsidRDefault="00120EA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1189" w14:textId="77777777" w:rsidR="0040506B" w:rsidRDefault="0040506B" w:rsidP="00245E7B">
      <w:pPr>
        <w:spacing w:after="0" w:line="240" w:lineRule="auto"/>
      </w:pPr>
      <w:r>
        <w:separator/>
      </w:r>
    </w:p>
  </w:footnote>
  <w:footnote w:type="continuationSeparator" w:id="0">
    <w:p w14:paraId="68DF98B1" w14:textId="77777777" w:rsidR="0040506B" w:rsidRDefault="0040506B" w:rsidP="00245E7B">
      <w:pPr>
        <w:spacing w:after="0" w:line="240" w:lineRule="auto"/>
      </w:pPr>
      <w:r>
        <w:continuationSeparator/>
      </w:r>
    </w:p>
  </w:footnote>
  <w:footnote w:id="1">
    <w:p w14:paraId="7BE22F86" w14:textId="6231B6FE" w:rsidR="00120EA9" w:rsidRPr="00AA3E7F" w:rsidRDefault="00120EA9">
      <w:pPr>
        <w:pStyle w:val="FootnoteText"/>
        <w:rPr>
          <w:rFonts w:ascii="Times New Roman" w:hAnsi="Times New Roman" w:cs="Times New Roman"/>
          <w:lang w:val="es-ES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A3E7F">
        <w:rPr>
          <w:rFonts w:ascii="Times New Roman" w:hAnsi="Times New Roman" w:cs="Times New Roman"/>
          <w:lang w:val="es-ES"/>
        </w:rPr>
        <w:t>Profesor de Sistemas de</w:t>
      </w:r>
      <w:r w:rsidR="00AA3E7F" w:rsidRPr="00AA3E7F">
        <w:rPr>
          <w:rFonts w:ascii="Times New Roman" w:hAnsi="Times New Roman" w:cs="Times New Roman"/>
          <w:lang w:val="es-ES"/>
        </w:rPr>
        <w:t xml:space="preserve"> Administración</w:t>
      </w:r>
      <w:r w:rsidR="0018667C">
        <w:rPr>
          <w:rFonts w:ascii="Times New Roman" w:hAnsi="Times New Roman" w:cs="Times New Roman"/>
          <w:lang w:val="es-ES"/>
        </w:rPr>
        <w:t xml:space="preserve"> de</w:t>
      </w:r>
      <w:r w:rsidRPr="00AA3E7F">
        <w:rPr>
          <w:rFonts w:ascii="Times New Roman" w:hAnsi="Times New Roman" w:cs="Times New Roman"/>
          <w:lang w:val="es-ES"/>
        </w:rPr>
        <w:t xml:space="preserve"> Justicia, Universidad de Oxford; </w:t>
      </w:r>
      <w:r w:rsidR="0018667C">
        <w:rPr>
          <w:rFonts w:ascii="Times New Roman" w:hAnsi="Times New Roman" w:cs="Times New Roman"/>
          <w:lang w:val="es-ES"/>
        </w:rPr>
        <w:t>Director</w:t>
      </w:r>
      <w:r w:rsidRPr="00AA3E7F">
        <w:rPr>
          <w:rFonts w:ascii="Times New Roman" w:hAnsi="Times New Roman" w:cs="Times New Roman"/>
          <w:lang w:val="es-ES"/>
        </w:rPr>
        <w:t xml:space="preserve"> del Programa </w:t>
      </w:r>
      <w:proofErr w:type="spellStart"/>
      <w:r w:rsidRPr="00AA3E7F">
        <w:rPr>
          <w:rFonts w:ascii="Times New Roman" w:hAnsi="Times New Roman" w:cs="Times New Roman"/>
          <w:lang w:val="es-ES"/>
        </w:rPr>
        <w:t>Swiss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 Re/CMS </w:t>
      </w:r>
      <w:r w:rsidR="0018667C">
        <w:rPr>
          <w:rFonts w:ascii="Times New Roman" w:hAnsi="Times New Roman" w:cs="Times New Roman"/>
          <w:lang w:val="es-ES"/>
        </w:rPr>
        <w:t>de Investigación</w:t>
      </w:r>
      <w:r w:rsidRPr="00AA3E7F">
        <w:rPr>
          <w:rFonts w:ascii="Times New Roman" w:hAnsi="Times New Roman" w:cs="Times New Roman"/>
          <w:lang w:val="es-ES"/>
        </w:rPr>
        <w:t xml:space="preserve"> </w:t>
      </w:r>
      <w:r w:rsidR="00AA3E7F" w:rsidRPr="00AA3E7F">
        <w:rPr>
          <w:rFonts w:ascii="Times New Roman" w:hAnsi="Times New Roman" w:cs="Times New Roman"/>
          <w:lang w:val="es-ES"/>
        </w:rPr>
        <w:t>sobre Sistemas de</w:t>
      </w:r>
      <w:r w:rsidR="0018667C">
        <w:rPr>
          <w:rFonts w:ascii="Times New Roman" w:hAnsi="Times New Roman" w:cs="Times New Roman"/>
          <w:lang w:val="es-ES"/>
        </w:rPr>
        <w:t xml:space="preserve"> Administración de</w:t>
      </w:r>
      <w:r w:rsidR="00AA3E7F" w:rsidRPr="00AA3E7F">
        <w:rPr>
          <w:rFonts w:ascii="Times New Roman" w:hAnsi="Times New Roman" w:cs="Times New Roman"/>
          <w:lang w:val="es-ES"/>
        </w:rPr>
        <w:t xml:space="preserve"> Justicia Civil</w:t>
      </w:r>
      <w:r w:rsidRPr="00AA3E7F">
        <w:rPr>
          <w:rFonts w:ascii="Times New Roman" w:hAnsi="Times New Roman" w:cs="Times New Roman"/>
          <w:lang w:val="es-ES"/>
        </w:rPr>
        <w:t>, Centro de Estudios Socio-</w:t>
      </w:r>
      <w:r w:rsidR="0018667C">
        <w:rPr>
          <w:rFonts w:ascii="Times New Roman" w:hAnsi="Times New Roman" w:cs="Times New Roman"/>
          <w:lang w:val="es-ES"/>
        </w:rPr>
        <w:t>Jurídicos</w:t>
      </w:r>
      <w:r w:rsidRPr="00AA3E7F">
        <w:rPr>
          <w:rFonts w:ascii="Times New Roman" w:hAnsi="Times New Roman" w:cs="Times New Roman"/>
          <w:lang w:val="es-ES"/>
        </w:rPr>
        <w:t xml:space="preserve">, Universidad de Oxford; Profesor </w:t>
      </w:r>
      <w:r w:rsidR="0018667C">
        <w:rPr>
          <w:rFonts w:ascii="Times New Roman" w:hAnsi="Times New Roman" w:cs="Times New Roman"/>
          <w:lang w:val="es-ES"/>
        </w:rPr>
        <w:t>Honorario</w:t>
      </w:r>
      <w:r w:rsidRPr="00AA3E7F">
        <w:rPr>
          <w:rFonts w:ascii="Times New Roman" w:hAnsi="Times New Roman" w:cs="Times New Roman"/>
          <w:lang w:val="es-ES"/>
        </w:rPr>
        <w:t xml:space="preserve"> de la Universidad China de Derecho</w:t>
      </w:r>
      <w:r w:rsidR="0018667C">
        <w:rPr>
          <w:rFonts w:ascii="Times New Roman" w:hAnsi="Times New Roman" w:cs="Times New Roman"/>
          <w:lang w:val="es-ES"/>
        </w:rPr>
        <w:t xml:space="preserve"> y Ciencias Políticas</w:t>
      </w:r>
      <w:r w:rsidRPr="00AA3E7F">
        <w:rPr>
          <w:rFonts w:ascii="Times New Roman" w:hAnsi="Times New Roman" w:cs="Times New Roman"/>
          <w:lang w:val="es-ES"/>
        </w:rPr>
        <w:t xml:space="preserve">, </w:t>
      </w:r>
      <w:r w:rsidR="0018667C">
        <w:rPr>
          <w:rFonts w:ascii="Times New Roman" w:hAnsi="Times New Roman" w:cs="Times New Roman"/>
          <w:lang w:val="es-ES"/>
        </w:rPr>
        <w:t>Pekín</w:t>
      </w:r>
      <w:r w:rsidRPr="00AA3E7F">
        <w:rPr>
          <w:rFonts w:ascii="Times New Roman" w:hAnsi="Times New Roman" w:cs="Times New Roman"/>
          <w:lang w:val="es-ES"/>
        </w:rPr>
        <w:t xml:space="preserve">;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Fellow</w:t>
      </w:r>
      <w:proofErr w:type="spellEnd"/>
      <w:r w:rsidR="00BE47CB">
        <w:rPr>
          <w:rFonts w:ascii="Times New Roman" w:hAnsi="Times New Roman" w:cs="Times New Roman"/>
          <w:lang w:val="es-ES"/>
        </w:rPr>
        <w:t xml:space="preserve"> del </w:t>
      </w:r>
      <w:r w:rsidRPr="00AA3E7F">
        <w:rPr>
          <w:rFonts w:ascii="Times New Roman" w:hAnsi="Times New Roman" w:cs="Times New Roman"/>
          <w:lang w:val="es-ES"/>
        </w:rPr>
        <w:t xml:space="preserve">Wolfson College, Oxford;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Solicitor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 (no ejerciente). </w:t>
      </w:r>
      <w:r w:rsidR="00A36BA9">
        <w:rPr>
          <w:rFonts w:ascii="Times New Roman" w:hAnsi="Times New Roman" w:cs="Times New Roman"/>
          <w:lang w:val="es-ES"/>
        </w:rPr>
        <w:t>Esta</w:t>
      </w:r>
      <w:r w:rsidR="00BE47CB">
        <w:rPr>
          <w:rFonts w:ascii="Times New Roman" w:hAnsi="Times New Roman" w:cs="Times New Roman"/>
          <w:lang w:val="es-ES"/>
        </w:rPr>
        <w:t xml:space="preserve"> investigación</w:t>
      </w:r>
      <w:r w:rsidR="00A36BA9">
        <w:rPr>
          <w:rFonts w:ascii="Times New Roman" w:hAnsi="Times New Roman" w:cs="Times New Roman"/>
          <w:lang w:val="es-ES"/>
        </w:rPr>
        <w:t xml:space="preserve"> ha sido financiada con fondos</w:t>
      </w:r>
      <w:r w:rsidR="00BE47CB">
        <w:rPr>
          <w:rFonts w:ascii="Times New Roman" w:hAnsi="Times New Roman" w:cs="Times New Roman"/>
          <w:lang w:val="es-ES"/>
        </w:rPr>
        <w:t xml:space="preserve"> de la compañía </w:t>
      </w:r>
      <w:proofErr w:type="spellStart"/>
      <w:r w:rsidR="00BE47CB">
        <w:rPr>
          <w:rFonts w:ascii="Times New Roman" w:hAnsi="Times New Roman" w:cs="Times New Roman"/>
          <w:lang w:val="es-ES"/>
        </w:rPr>
        <w:t>Swiss</w:t>
      </w:r>
      <w:proofErr w:type="spellEnd"/>
      <w:r w:rsidR="00BE47C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BE47CB">
        <w:rPr>
          <w:rFonts w:ascii="Times New Roman" w:hAnsi="Times New Roman" w:cs="Times New Roman"/>
          <w:lang w:val="es-ES"/>
        </w:rPr>
        <w:t>Reinsurance</w:t>
      </w:r>
      <w:proofErr w:type="spellEnd"/>
      <w:r w:rsidR="00BE47CB">
        <w:rPr>
          <w:rFonts w:ascii="Times New Roman" w:hAnsi="Times New Roman" w:cs="Times New Roman"/>
          <w:lang w:val="es-ES"/>
        </w:rPr>
        <w:t xml:space="preserve"> Company </w:t>
      </w:r>
      <w:proofErr w:type="spellStart"/>
      <w:r w:rsidR="00BE47CB">
        <w:rPr>
          <w:rFonts w:ascii="Times New Roman" w:hAnsi="Times New Roman" w:cs="Times New Roman"/>
          <w:lang w:val="es-ES"/>
        </w:rPr>
        <w:t>Limited</w:t>
      </w:r>
      <w:proofErr w:type="spellEnd"/>
      <w:r w:rsidR="00BE47CB">
        <w:rPr>
          <w:rFonts w:ascii="Times New Roman" w:hAnsi="Times New Roman" w:cs="Times New Roman"/>
          <w:lang w:val="es-ES"/>
        </w:rPr>
        <w:t>, el Foro Europeo de Justicia</w:t>
      </w:r>
      <w:r w:rsidR="00371AE6">
        <w:rPr>
          <w:rFonts w:ascii="Times New Roman" w:hAnsi="Times New Roman" w:cs="Times New Roman"/>
          <w:lang w:val="es-ES"/>
        </w:rPr>
        <w:t xml:space="preserve"> (</w:t>
      </w:r>
      <w:r w:rsidR="00371AE6">
        <w:rPr>
          <w:rFonts w:ascii="Times New Roman" w:hAnsi="Times New Roman" w:cs="Times New Roman"/>
          <w:i/>
          <w:lang w:val="es-ES"/>
        </w:rPr>
        <w:t>European Justice Forum</w:t>
      </w:r>
      <w:r w:rsidR="00371AE6">
        <w:rPr>
          <w:rFonts w:ascii="Times New Roman" w:hAnsi="Times New Roman" w:cs="Times New Roman"/>
          <w:lang w:val="es-ES"/>
        </w:rPr>
        <w:t>)</w:t>
      </w:r>
      <w:r w:rsidR="00BE47CB">
        <w:rPr>
          <w:rFonts w:ascii="Times New Roman" w:hAnsi="Times New Roman" w:cs="Times New Roman"/>
          <w:lang w:val="es-ES"/>
        </w:rPr>
        <w:t xml:space="preserve"> y el despacho internacional</w:t>
      </w:r>
      <w:r w:rsidR="00371AE6">
        <w:rPr>
          <w:rFonts w:ascii="Times New Roman" w:hAnsi="Times New Roman" w:cs="Times New Roman"/>
          <w:lang w:val="es-ES"/>
        </w:rPr>
        <w:t xml:space="preserve"> de abogados</w:t>
      </w:r>
      <w:r w:rsidR="00BE47CB">
        <w:rPr>
          <w:rFonts w:ascii="Times New Roman" w:hAnsi="Times New Roman" w:cs="Times New Roman"/>
          <w:lang w:val="es-ES"/>
        </w:rPr>
        <w:t xml:space="preserve"> CMS. </w:t>
      </w:r>
    </w:p>
  </w:footnote>
  <w:footnote w:id="2">
    <w:p w14:paraId="78EC7A8D" w14:textId="5CF28373" w:rsidR="00120EA9" w:rsidRPr="00134C37" w:rsidRDefault="00120EA9" w:rsidP="004916E7">
      <w:pPr>
        <w:pStyle w:val="FootnoteText"/>
        <w:rPr>
          <w:rFonts w:ascii="Times New Roman" w:hAnsi="Times New Roman" w:cs="Times New Roman"/>
        </w:rPr>
      </w:pPr>
      <w:r w:rsidRPr="00AA3E7F">
        <w:rPr>
          <w:rStyle w:val="FootnoteReference"/>
          <w:rFonts w:ascii="Times New Roman" w:hAnsi="Times New Roman" w:cs="Times New Roman"/>
          <w:lang w:val="es-ES"/>
        </w:rPr>
        <w:footnoteRef/>
      </w:r>
      <w:r w:rsidRPr="00AA3E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lang w:val="es-ES"/>
        </w:rPr>
        <w:t>Civic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lang w:val="es-ES"/>
        </w:rPr>
        <w:t>Consulting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Study</w:t>
      </w:r>
      <w:proofErr w:type="spellEnd"/>
      <w:r w:rsidRPr="00AA3E7F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on</w:t>
      </w:r>
      <w:proofErr w:type="spellEnd"/>
      <w:r w:rsidRPr="00AA3E7F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AA3E7F">
        <w:rPr>
          <w:rFonts w:ascii="Times New Roman" w:hAnsi="Times New Roman" w:cs="Times New Roman"/>
          <w:i/>
          <w:lang w:val="es-ES"/>
        </w:rPr>
        <w:t xml:space="preserve"> use of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Alternative</w:t>
      </w:r>
      <w:proofErr w:type="spellEnd"/>
      <w:r w:rsidRPr="00AA3E7F">
        <w:rPr>
          <w:rFonts w:ascii="Times New Roman" w:hAnsi="Times New Roman" w:cs="Times New Roman"/>
          <w:i/>
          <w:lang w:val="es-ES"/>
        </w:rPr>
        <w:t xml:space="preserve"> Dispute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Resolution</w:t>
      </w:r>
      <w:proofErr w:type="spellEnd"/>
      <w:r w:rsidRPr="00AA3E7F">
        <w:rPr>
          <w:rFonts w:ascii="Times New Roman" w:hAnsi="Times New Roman" w:cs="Times New Roman"/>
          <w:i/>
          <w:lang w:val="es-ES"/>
        </w:rPr>
        <w:t xml:space="preserve"> in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AA3E7F">
        <w:rPr>
          <w:rFonts w:ascii="Times New Roman" w:hAnsi="Times New Roman" w:cs="Times New Roman"/>
          <w:i/>
          <w:lang w:val="es-ES"/>
        </w:rPr>
        <w:t xml:space="preserve"> European </w:t>
      </w:r>
      <w:proofErr w:type="spellStart"/>
      <w:r w:rsidRPr="00AA3E7F">
        <w:rPr>
          <w:rFonts w:ascii="Times New Roman" w:hAnsi="Times New Roman" w:cs="Times New Roman"/>
          <w:i/>
          <w:lang w:val="es-ES"/>
        </w:rPr>
        <w:t>Union</w:t>
      </w:r>
      <w:proofErr w:type="spellEnd"/>
      <w:r w:rsidRPr="00AA3E7F">
        <w:rPr>
          <w:rFonts w:ascii="Times New Roman" w:hAnsi="Times New Roman" w:cs="Times New Roman"/>
          <w:lang w:val="es-ES"/>
        </w:rPr>
        <w:t>, 16 de octubre de 2009, disponible en inglés en ec.europa.eu/</w:t>
      </w:r>
      <w:proofErr w:type="spellStart"/>
      <w:r w:rsidRPr="00AA3E7F">
        <w:rPr>
          <w:rFonts w:ascii="Times New Roman" w:hAnsi="Times New Roman" w:cs="Times New Roman"/>
          <w:lang w:val="es-ES"/>
        </w:rPr>
        <w:t>consumers</w:t>
      </w:r>
      <w:proofErr w:type="spellEnd"/>
      <w:r w:rsidRPr="00AA3E7F">
        <w:rPr>
          <w:rFonts w:ascii="Times New Roman" w:hAnsi="Times New Roman" w:cs="Times New Roman"/>
          <w:lang w:val="es-ES"/>
        </w:rPr>
        <w:t>/</w:t>
      </w:r>
      <w:proofErr w:type="spellStart"/>
      <w:r w:rsidRPr="00AA3E7F">
        <w:rPr>
          <w:rFonts w:ascii="Times New Roman" w:hAnsi="Times New Roman" w:cs="Times New Roman"/>
          <w:lang w:val="es-ES"/>
        </w:rPr>
        <w:t>redress_cons</w:t>
      </w:r>
      <w:proofErr w:type="spellEnd"/>
      <w:r w:rsidRPr="00AA3E7F">
        <w:rPr>
          <w:rFonts w:ascii="Times New Roman" w:hAnsi="Times New Roman" w:cs="Times New Roman"/>
          <w:lang w:val="es-ES"/>
        </w:rPr>
        <w:t>/adr_study.pdf</w:t>
      </w:r>
      <w:r w:rsidRPr="00AA3E7F">
        <w:rPr>
          <w:rStyle w:val="Hyperlink"/>
          <w:rFonts w:ascii="Times New Roman" w:hAnsi="Times New Roman" w:cs="Times New Roman"/>
          <w:lang w:val="es-ES"/>
        </w:rPr>
        <w:t>.</w:t>
      </w:r>
      <w:r w:rsidRPr="00AA3E7F">
        <w:rPr>
          <w:rFonts w:ascii="Times New Roman" w:hAnsi="Times New Roman" w:cs="Times New Roman"/>
          <w:lang w:val="es-ES"/>
        </w:rPr>
        <w:t xml:space="preserve"> Para un repaso de los diferentes sistemas nacionales, véase C Hodges, I </w:t>
      </w:r>
      <w:proofErr w:type="spellStart"/>
      <w:r w:rsidRPr="00AA3E7F">
        <w:rPr>
          <w:rFonts w:ascii="Times New Roman" w:hAnsi="Times New Roman" w:cs="Times New Roman"/>
          <w:lang w:val="es-ES"/>
        </w:rPr>
        <w:t>Benöhr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 and N Creutzfeldt-Banda,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Consumer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ADR in Europe </w:t>
      </w:r>
      <w:r w:rsidRPr="00AA3E7F">
        <w:rPr>
          <w:rFonts w:ascii="Times New Roman" w:hAnsi="Times New Roman" w:cs="Times New Roman"/>
          <w:lang w:val="es-ES"/>
        </w:rPr>
        <w:t xml:space="preserve">(Oxford, Hart Publishing, 2012); J Stuyck, E Terryn, V </w:t>
      </w:r>
      <w:proofErr w:type="spellStart"/>
      <w:r w:rsidRPr="00AA3E7F">
        <w:rPr>
          <w:rFonts w:ascii="Times New Roman" w:hAnsi="Times New Roman" w:cs="Times New Roman"/>
          <w:lang w:val="es-ES"/>
        </w:rPr>
        <w:t>Colaert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, T Van </w:t>
      </w:r>
      <w:proofErr w:type="spellStart"/>
      <w:r w:rsidRPr="00AA3E7F">
        <w:rPr>
          <w:rFonts w:ascii="Times New Roman" w:hAnsi="Times New Roman" w:cs="Times New Roman"/>
          <w:lang w:val="es-ES"/>
        </w:rPr>
        <w:t>Dyck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, N </w:t>
      </w:r>
      <w:proofErr w:type="spellStart"/>
      <w:r w:rsidRPr="00AA3E7F">
        <w:rPr>
          <w:rFonts w:ascii="Times New Roman" w:hAnsi="Times New Roman" w:cs="Times New Roman"/>
          <w:lang w:val="es-ES"/>
        </w:rPr>
        <w:t>Peretz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, N </w:t>
      </w:r>
      <w:proofErr w:type="spellStart"/>
      <w:r w:rsidRPr="00AA3E7F">
        <w:rPr>
          <w:rFonts w:ascii="Times New Roman" w:hAnsi="Times New Roman" w:cs="Times New Roman"/>
          <w:lang w:val="es-ES"/>
        </w:rPr>
        <w:t>Hoekx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 y P </w:t>
      </w:r>
      <w:proofErr w:type="spellStart"/>
      <w:r w:rsidRPr="00AA3E7F">
        <w:rPr>
          <w:rFonts w:ascii="Times New Roman" w:hAnsi="Times New Roman" w:cs="Times New Roman"/>
          <w:lang w:val="es-ES"/>
        </w:rPr>
        <w:t>Tereszkiewicz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An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Analysis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and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Evaluation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of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Alternative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Means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of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Consumer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Redress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Other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than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Redress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through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Ordinary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Judicial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Proceedings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: Final </w:t>
      </w:r>
      <w:proofErr w:type="spellStart"/>
      <w:r w:rsidRPr="00AA3E7F">
        <w:rPr>
          <w:rFonts w:ascii="Times New Roman" w:hAnsi="Times New Roman" w:cs="Times New Roman"/>
          <w:i/>
          <w:iCs/>
          <w:lang w:val="es-ES"/>
        </w:rPr>
        <w:t>Report</w:t>
      </w:r>
      <w:proofErr w:type="spellEnd"/>
      <w:r w:rsidRPr="00AA3E7F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A3E7F">
        <w:rPr>
          <w:rFonts w:ascii="Times New Roman" w:hAnsi="Times New Roman" w:cs="Times New Roman"/>
          <w:lang w:val="es-ES"/>
        </w:rPr>
        <w:t xml:space="preserve">(Universidad Católica de </w:t>
      </w:r>
      <w:proofErr w:type="spellStart"/>
      <w:r w:rsidRPr="00AA3E7F">
        <w:rPr>
          <w:rFonts w:ascii="Times New Roman" w:hAnsi="Times New Roman" w:cs="Times New Roman"/>
          <w:lang w:val="es-ES"/>
        </w:rPr>
        <w:t>Leuven</w:t>
      </w:r>
      <w:proofErr w:type="spellEnd"/>
      <w:r w:rsidRPr="00AA3E7F">
        <w:rPr>
          <w:rFonts w:ascii="Times New Roman" w:hAnsi="Times New Roman" w:cs="Times New Roman"/>
          <w:lang w:val="es-ES"/>
        </w:rPr>
        <w:t xml:space="preserve">, 17 </w:t>
      </w:r>
      <w:r w:rsidRPr="00AA3E7F">
        <w:rPr>
          <w:rFonts w:ascii="Times New Roman" w:hAnsi="Times New Roman" w:cs="Times New Roman"/>
          <w:bCs/>
          <w:lang w:val="es-ES"/>
        </w:rPr>
        <w:t xml:space="preserve">de enero de 2007), </w:t>
      </w:r>
      <w:r w:rsidRPr="00AA3E7F">
        <w:rPr>
          <w:rFonts w:ascii="Times New Roman" w:hAnsi="Times New Roman" w:cs="Times New Roman"/>
          <w:lang w:val="es-ES"/>
        </w:rPr>
        <w:t>disponible en inglés en ec.europa.eu/</w:t>
      </w:r>
      <w:proofErr w:type="spellStart"/>
      <w:r w:rsidRPr="00AA3E7F">
        <w:rPr>
          <w:rFonts w:ascii="Times New Roman" w:hAnsi="Times New Roman" w:cs="Times New Roman"/>
          <w:lang w:val="es-ES"/>
        </w:rPr>
        <w:t>consumers</w:t>
      </w:r>
      <w:proofErr w:type="spellEnd"/>
      <w:r w:rsidRPr="00AA3E7F">
        <w:rPr>
          <w:rFonts w:ascii="Times New Roman" w:hAnsi="Times New Roman" w:cs="Times New Roman"/>
          <w:lang w:val="es-ES"/>
        </w:rPr>
        <w:t>/</w:t>
      </w:r>
      <w:proofErr w:type="spellStart"/>
      <w:r w:rsidRPr="00AA3E7F">
        <w:rPr>
          <w:rFonts w:ascii="Times New Roman" w:hAnsi="Times New Roman" w:cs="Times New Roman"/>
          <w:lang w:val="es-ES"/>
        </w:rPr>
        <w:t>redress</w:t>
      </w:r>
      <w:proofErr w:type="spellEnd"/>
      <w:r w:rsidRPr="00AA3E7F">
        <w:rPr>
          <w:rFonts w:ascii="Times New Roman" w:hAnsi="Times New Roman" w:cs="Times New Roman"/>
          <w:lang w:val="es-ES"/>
        </w:rPr>
        <w:t>/</w:t>
      </w:r>
      <w:proofErr w:type="spellStart"/>
      <w:r w:rsidRPr="00AA3E7F">
        <w:rPr>
          <w:rFonts w:ascii="Times New Roman" w:hAnsi="Times New Roman" w:cs="Times New Roman"/>
          <w:lang w:val="es-ES"/>
        </w:rPr>
        <w:t>reports_studies</w:t>
      </w:r>
      <w:proofErr w:type="spellEnd"/>
      <w:r w:rsidRPr="00AA3E7F">
        <w:rPr>
          <w:rFonts w:ascii="Times New Roman" w:hAnsi="Times New Roman" w:cs="Times New Roman"/>
          <w:lang w:val="es-ES"/>
        </w:rPr>
        <w:t>/index_en.htm.</w:t>
      </w:r>
    </w:p>
  </w:footnote>
  <w:footnote w:id="3">
    <w:p w14:paraId="63AE596C" w14:textId="1865DF37" w:rsidR="00120EA9" w:rsidRPr="00E20511" w:rsidRDefault="00120EA9" w:rsidP="004916E7">
      <w:pPr>
        <w:pStyle w:val="FootnoteText"/>
        <w:rPr>
          <w:rFonts w:ascii="Times New Roman" w:hAnsi="Times New Roman" w:cs="Times New Roman"/>
          <w:lang w:val="es-ES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 w:rsidRPr="00E20511">
        <w:rPr>
          <w:rFonts w:ascii="Times New Roman" w:hAnsi="Times New Roman" w:cs="Times New Roman"/>
          <w:lang w:val="es-ES"/>
        </w:rPr>
        <w:t xml:space="preserve">Resolución del Consejo de 25 de mayo de 2000 relativa a una red comunitaria de órganos responsables de la solución extrajudicial de los litigios en materia de consumo [2000] OJ C155/1. Véase </w:t>
      </w:r>
      <w:r w:rsidRPr="00E20511">
        <w:rPr>
          <w:rFonts w:ascii="Times New Roman" w:hAnsi="Times New Roman" w:cs="Times New Roman"/>
          <w:bCs/>
          <w:lang w:val="es-ES"/>
        </w:rPr>
        <w:t>www.eejnet.org/filing_complaint.</w:t>
      </w:r>
    </w:p>
  </w:footnote>
  <w:footnote w:id="4">
    <w:p w14:paraId="32A96C50" w14:textId="26EA4E4B" w:rsidR="00120EA9" w:rsidRPr="00E20511" w:rsidRDefault="00120EA9" w:rsidP="004916E7">
      <w:pPr>
        <w:pStyle w:val="FootnoteText"/>
        <w:rPr>
          <w:rFonts w:ascii="Times New Roman" w:hAnsi="Times New Roman" w:cs="Times New Roman"/>
          <w:lang w:val="es-ES"/>
        </w:rPr>
      </w:pPr>
      <w:r w:rsidRPr="00E20511">
        <w:rPr>
          <w:rStyle w:val="FootnoteReference"/>
          <w:rFonts w:ascii="Times New Roman" w:hAnsi="Times New Roman" w:cs="Times New Roman"/>
          <w:lang w:val="es-ES"/>
        </w:rPr>
        <w:footnoteRef/>
      </w:r>
      <w:r w:rsidRPr="00E20511">
        <w:rPr>
          <w:rFonts w:ascii="Times New Roman" w:hAnsi="Times New Roman" w:cs="Times New Roman"/>
          <w:lang w:val="es-ES"/>
        </w:rPr>
        <w:t xml:space="preserve"> </w:t>
      </w:r>
      <w:r w:rsidR="00E20511">
        <w:rPr>
          <w:rFonts w:ascii="Times New Roman" w:hAnsi="Times New Roman" w:cs="Times New Roman"/>
          <w:lang w:val="es-ES"/>
        </w:rPr>
        <w:t>Véase</w:t>
      </w:r>
      <w:r w:rsidRPr="00E20511">
        <w:rPr>
          <w:rFonts w:ascii="Times New Roman" w:hAnsi="Times New Roman" w:cs="Times New Roman"/>
          <w:lang w:val="es-ES"/>
        </w:rPr>
        <w:t xml:space="preserve"> ec.europa.eu/internal_market/finservices-retail/finnet/index_en.htm.</w:t>
      </w:r>
    </w:p>
  </w:footnote>
  <w:footnote w:id="5">
    <w:p w14:paraId="28ACF801" w14:textId="77777777" w:rsidR="00120EA9" w:rsidRPr="00E20511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20511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20511">
        <w:rPr>
          <w:rFonts w:ascii="Times New Roman" w:hAnsi="Times New Roman" w:cs="Times New Roman"/>
          <w:sz w:val="20"/>
          <w:szCs w:val="20"/>
          <w:lang w:val="es-ES"/>
        </w:rPr>
        <w:t xml:space="preserve"> ec.europa.eu/</w:t>
      </w:r>
      <w:proofErr w:type="spellStart"/>
      <w:r w:rsidRPr="00E20511">
        <w:rPr>
          <w:rFonts w:ascii="Times New Roman" w:hAnsi="Times New Roman" w:cs="Times New Roman"/>
          <w:sz w:val="20"/>
          <w:szCs w:val="20"/>
          <w:lang w:val="es-ES"/>
        </w:rPr>
        <w:t>solvit</w:t>
      </w:r>
      <w:proofErr w:type="spellEnd"/>
      <w:r w:rsidRPr="00E20511">
        <w:rPr>
          <w:rFonts w:ascii="Times New Roman" w:hAnsi="Times New Roman" w:cs="Times New Roman"/>
          <w:sz w:val="20"/>
          <w:szCs w:val="20"/>
          <w:lang w:val="es-ES"/>
        </w:rPr>
        <w:t>/</w:t>
      </w:r>
      <w:proofErr w:type="spellStart"/>
      <w:r w:rsidRPr="00E20511">
        <w:rPr>
          <w:rFonts w:ascii="Times New Roman" w:hAnsi="Times New Roman" w:cs="Times New Roman"/>
          <w:sz w:val="20"/>
          <w:szCs w:val="20"/>
          <w:lang w:val="es-ES"/>
        </w:rPr>
        <w:t>site</w:t>
      </w:r>
      <w:proofErr w:type="spellEnd"/>
      <w:r w:rsidRPr="00E20511">
        <w:rPr>
          <w:rFonts w:ascii="Times New Roman" w:hAnsi="Times New Roman" w:cs="Times New Roman"/>
          <w:sz w:val="20"/>
          <w:szCs w:val="20"/>
          <w:lang w:val="es-ES"/>
        </w:rPr>
        <w:t>/index_en.htm.</w:t>
      </w:r>
    </w:p>
  </w:footnote>
  <w:footnote w:id="6">
    <w:p w14:paraId="0EB30805" w14:textId="56DB0833" w:rsidR="00120EA9" w:rsidRPr="00E20511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20511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20511">
        <w:rPr>
          <w:rFonts w:ascii="Times New Roman" w:hAnsi="Times New Roman" w:cs="Times New Roman"/>
          <w:sz w:val="20"/>
          <w:szCs w:val="20"/>
          <w:lang w:val="es-ES"/>
        </w:rPr>
        <w:t xml:space="preserve"> Directiva 2000/31/CE de 8 de junio de 2000 relativa a determinados aspectos jurídicos de los servicios de la sociedad de la información, en particular el comercio electrónico en el mercado interior [2000] OJ L178.</w:t>
      </w:r>
    </w:p>
  </w:footnote>
  <w:footnote w:id="7">
    <w:p w14:paraId="05477080" w14:textId="3F48F3FC" w:rsidR="00120EA9" w:rsidRPr="00E20511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20511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20511">
        <w:rPr>
          <w:rFonts w:ascii="Times New Roman" w:hAnsi="Times New Roman" w:cs="Times New Roman"/>
          <w:sz w:val="20"/>
          <w:szCs w:val="20"/>
          <w:lang w:val="es-ES"/>
        </w:rPr>
        <w:t xml:space="preserve"> Directiva 2004/39/CE de 21 de abril de 2004 relativa a los mercados financieros [2004] OJ L145.</w:t>
      </w:r>
    </w:p>
  </w:footnote>
  <w:footnote w:id="8">
    <w:p w14:paraId="20B39952" w14:textId="2D2E3461" w:rsidR="00120EA9" w:rsidRPr="00E20511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20511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20511">
        <w:rPr>
          <w:rFonts w:ascii="Times New Roman" w:hAnsi="Times New Roman" w:cs="Times New Roman"/>
          <w:sz w:val="20"/>
          <w:szCs w:val="20"/>
          <w:lang w:val="es-ES"/>
        </w:rPr>
        <w:t xml:space="preserve"> Directiva 2008/6/CE de 20 de febrero de 2008 por la que se modifica la Directiva 97/67/CE en relación con la plena realización del mercado interior de servicios postales comunitarios [2008] OJ L52.</w:t>
      </w:r>
    </w:p>
  </w:footnote>
  <w:footnote w:id="9">
    <w:p w14:paraId="250DA8D2" w14:textId="1BB0B6DB" w:rsidR="00120EA9" w:rsidRPr="00E20511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20511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20511">
        <w:rPr>
          <w:rFonts w:ascii="Times New Roman" w:hAnsi="Times New Roman" w:cs="Times New Roman"/>
          <w:sz w:val="20"/>
          <w:szCs w:val="20"/>
          <w:lang w:val="es-ES"/>
        </w:rPr>
        <w:t xml:space="preserve"> Directiva 2006/123/CE de 12 de diciembre de 2006 relativa a los servicios en el mercado interior [2006] OJ L376.</w:t>
      </w:r>
    </w:p>
  </w:footnote>
  <w:footnote w:id="10">
    <w:p w14:paraId="18124573" w14:textId="3A83A12B" w:rsidR="00120EA9" w:rsidRPr="00D262DB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134C3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>Directiva 2007/64/CE de 13 noviembre de 2007 sobre servicios de pago en el mercado interior [2007] OJ L319.</w:t>
      </w:r>
    </w:p>
  </w:footnote>
  <w:footnote w:id="11">
    <w:p w14:paraId="0FFF195B" w14:textId="7EAD4D78" w:rsidR="00120EA9" w:rsidRPr="00D262DB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D262DB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Directiva 2008/48/CE de 23 de abril de 2008 relativa a los contratos de crédito al consumo [2008] OJ L133.</w:t>
      </w:r>
    </w:p>
  </w:footnote>
  <w:footnote w:id="12">
    <w:p w14:paraId="487C83F6" w14:textId="48C4D1BE" w:rsidR="00120EA9" w:rsidRPr="00D262DB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D262DB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Directiva 2009/136/CE de 25 noviembre de 2009 por la que se modifican la Directiva 2002/22/CE relativa al servicio universal y los derechos de los usuarios en relación con las redes y los servicios de comunicaciones electrónicas, la Directiva 2002/58/CE relativa al tratamiento de datos personales y a la protección de la intimidad en el sector de las comunicaciones electrónicas y el Reglamento (CE) nº 2006/2004 sobre la cooperación en materia de protección de los consumidores [2009] OJ L337, y la Directiva 2009/140/CE de 25 de noviembre de 2009 por la que se modifican la Directiva 2002/21/CE relativa a un marco regulador común de las redes y los servicios de comunicaciones electrónicas, la Directiva 2002/19/CE relativa al acceso a las redes de comunicaciones electrónicas y recursos asociados y</w:t>
      </w:r>
      <w:r w:rsid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>la Directiva 2002/20/CE relativa a la autorización de redes y servicios de comunicaciones electrónicas [2009] OJ L337.</w:t>
      </w:r>
    </w:p>
  </w:footnote>
  <w:footnote w:id="13">
    <w:p w14:paraId="6BDF4E47" w14:textId="4EFA0A3F" w:rsidR="00120EA9" w:rsidRPr="00D262DB" w:rsidRDefault="00120EA9" w:rsidP="004916E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D262DB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Directiva 2009/72/CE de 13 de julio de 2009 sobre normas comunes para el mercado interior de la electricidad [2009] OJ L211 y Directiva 2009/73/CE de13 de julio de 2009 sobre normas comunes para el mercado interior del gas natural [2009] OJ L211.</w:t>
      </w:r>
    </w:p>
  </w:footnote>
  <w:footnote w:id="14">
    <w:p w14:paraId="70CAF8CB" w14:textId="3DC22871" w:rsidR="00120EA9" w:rsidRPr="00D262DB" w:rsidRDefault="00120EA9" w:rsidP="004916E7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Reglamento (UE) nº 181/2011 de 16 de febrero de 2011 sobre los derechos de los viajeros de autobús y [2011] OJ L55</w:t>
      </w:r>
      <w:r w:rsidRPr="00D262DB">
        <w:rPr>
          <w:rFonts w:ascii="Times New Roman" w:hAnsi="Times New Roman" w:cs="Times New Roman"/>
          <w:bCs/>
          <w:lang w:val="es-ES"/>
        </w:rPr>
        <w:t>.</w:t>
      </w:r>
    </w:p>
  </w:footnote>
  <w:footnote w:id="15">
    <w:p w14:paraId="35B77F74" w14:textId="1BEB29B2" w:rsidR="00120EA9" w:rsidRPr="00D262DB" w:rsidRDefault="00120EA9" w:rsidP="004916E7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Directiva 2014/17/EU de 4 de febrero de 2014 sobre los contratos de crédito celebrados con los consumidores para bienes inmuebles de uso residencial [2014] OJ L60.</w:t>
      </w:r>
    </w:p>
  </w:footnote>
  <w:footnote w:id="16">
    <w:p w14:paraId="2386B57C" w14:textId="4717875A" w:rsidR="00120EA9" w:rsidRPr="00D262DB" w:rsidRDefault="00120EA9" w:rsidP="00E12410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Véase J </w:t>
      </w:r>
      <w:proofErr w:type="spellStart"/>
      <w:r w:rsidRPr="00D262DB">
        <w:rPr>
          <w:rFonts w:ascii="Times New Roman" w:hAnsi="Times New Roman" w:cs="Times New Roman"/>
          <w:lang w:val="es-ES"/>
        </w:rPr>
        <w:t>Hörnle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, </w:t>
      </w:r>
      <w:r w:rsidRPr="00D262DB">
        <w:rPr>
          <w:rFonts w:ascii="Times New Roman" w:hAnsi="Times New Roman" w:cs="Times New Roman"/>
          <w:i/>
          <w:lang w:val="es-ES"/>
        </w:rPr>
        <w:t>Cross-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Border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Dispute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Resolution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(Cambridge, Cambridge </w:t>
      </w:r>
      <w:proofErr w:type="spellStart"/>
      <w:r w:rsidRPr="00D262DB">
        <w:rPr>
          <w:rFonts w:ascii="Times New Roman" w:hAnsi="Times New Roman" w:cs="Times New Roman"/>
          <w:lang w:val="es-ES"/>
        </w:rPr>
        <w:t>University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Press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, 2009); P Cortés, </w:t>
      </w:r>
      <w:r w:rsidRPr="00D262DB">
        <w:rPr>
          <w:rFonts w:ascii="Times New Roman" w:hAnsi="Times New Roman" w:cs="Times New Roman"/>
          <w:i/>
          <w:lang w:val="es-ES"/>
        </w:rPr>
        <w:t xml:space="preserve">Online Dispute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Resolution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for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Consumers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in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European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Union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(London, </w:t>
      </w:r>
      <w:proofErr w:type="spellStart"/>
      <w:r w:rsidRPr="00D262DB">
        <w:rPr>
          <w:rFonts w:ascii="Times New Roman" w:hAnsi="Times New Roman" w:cs="Times New Roman"/>
          <w:lang w:val="es-ES"/>
        </w:rPr>
        <w:t>Routledge</w:t>
      </w:r>
      <w:proofErr w:type="spellEnd"/>
      <w:r w:rsidRPr="00D262DB">
        <w:rPr>
          <w:rFonts w:ascii="Times New Roman" w:hAnsi="Times New Roman" w:cs="Times New Roman"/>
          <w:lang w:val="es-ES"/>
        </w:rPr>
        <w:t>, 2011).</w:t>
      </w:r>
    </w:p>
  </w:footnote>
  <w:footnote w:id="17">
    <w:p w14:paraId="01ED0F4C" w14:textId="77777777" w:rsidR="00120EA9" w:rsidRPr="00D262DB" w:rsidRDefault="00120EA9" w:rsidP="00E12410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L Del Luca, C Rule and Z Loebl, ‘</w:t>
      </w:r>
      <w:proofErr w:type="spellStart"/>
      <w:r w:rsidRPr="00D262DB">
        <w:rPr>
          <w:rFonts w:ascii="Times New Roman" w:hAnsi="Times New Roman" w:cs="Times New Roman"/>
          <w:lang w:val="es-ES"/>
        </w:rPr>
        <w:t>Facilitating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Expansion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of Cross-</w:t>
      </w:r>
      <w:proofErr w:type="spellStart"/>
      <w:r w:rsidRPr="00D262DB">
        <w:rPr>
          <w:rFonts w:ascii="Times New Roman" w:hAnsi="Times New Roman" w:cs="Times New Roman"/>
          <w:lang w:val="es-ES"/>
        </w:rPr>
        <w:t>Border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E-Commerce – </w:t>
      </w:r>
      <w:proofErr w:type="spellStart"/>
      <w:r w:rsidRPr="00D262DB">
        <w:rPr>
          <w:rFonts w:ascii="Times New Roman" w:hAnsi="Times New Roman" w:cs="Times New Roman"/>
          <w:lang w:val="es-ES"/>
        </w:rPr>
        <w:t>Developing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a Global Online Dispute </w:t>
      </w:r>
      <w:proofErr w:type="spellStart"/>
      <w:r w:rsidRPr="00D262DB">
        <w:rPr>
          <w:rFonts w:ascii="Times New Roman" w:hAnsi="Times New Roman" w:cs="Times New Roman"/>
          <w:lang w:val="es-ES"/>
        </w:rPr>
        <w:t>Resolution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System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D262DB">
        <w:rPr>
          <w:rFonts w:ascii="Times New Roman" w:hAnsi="Times New Roman" w:cs="Times New Roman"/>
          <w:lang w:val="es-ES"/>
        </w:rPr>
        <w:t>Lessons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Derived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from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Existing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ODR </w:t>
      </w:r>
      <w:proofErr w:type="spellStart"/>
      <w:r w:rsidRPr="00D262DB">
        <w:rPr>
          <w:rFonts w:ascii="Times New Roman" w:hAnsi="Times New Roman" w:cs="Times New Roman"/>
          <w:lang w:val="es-ES"/>
        </w:rPr>
        <w:t>Systems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– </w:t>
      </w:r>
      <w:proofErr w:type="spellStart"/>
      <w:r w:rsidRPr="00D262DB">
        <w:rPr>
          <w:rFonts w:ascii="Times New Roman" w:hAnsi="Times New Roman" w:cs="Times New Roman"/>
          <w:lang w:val="es-ES"/>
        </w:rPr>
        <w:t>Work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United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Nations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Commission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International </w:t>
      </w:r>
      <w:proofErr w:type="spellStart"/>
      <w:r w:rsidRPr="00D262DB">
        <w:rPr>
          <w:rFonts w:ascii="Times New Roman" w:hAnsi="Times New Roman" w:cs="Times New Roman"/>
          <w:lang w:val="es-ES"/>
        </w:rPr>
        <w:t>Trade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Law)’ (2012) 1 </w:t>
      </w:r>
      <w:r w:rsidRPr="00D262DB">
        <w:rPr>
          <w:rFonts w:ascii="Times New Roman" w:hAnsi="Times New Roman" w:cs="Times New Roman"/>
          <w:i/>
          <w:lang w:val="es-ES"/>
        </w:rPr>
        <w:t xml:space="preserve">Penn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State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Journal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of Law &amp; International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Affairs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59.</w:t>
      </w:r>
    </w:p>
  </w:footnote>
  <w:footnote w:id="18">
    <w:p w14:paraId="773AF67B" w14:textId="77777777" w:rsidR="00120EA9" w:rsidRPr="00D262DB" w:rsidRDefault="00120EA9" w:rsidP="00A6468A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See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Annual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Reports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Financial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Ombudsman </w:t>
      </w:r>
      <w:proofErr w:type="spellStart"/>
      <w:r w:rsidRPr="00D262DB">
        <w:rPr>
          <w:rFonts w:ascii="Times New Roman" w:hAnsi="Times New Roman" w:cs="Times New Roman"/>
          <w:lang w:val="es-ES"/>
        </w:rPr>
        <w:t>Service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at www.financial-ombudsman.org.uk.</w:t>
      </w:r>
    </w:p>
  </w:footnote>
  <w:footnote w:id="19">
    <w:p w14:paraId="2C0EB6B6" w14:textId="77777777" w:rsidR="00120EA9" w:rsidRPr="00134C37" w:rsidRDefault="00120EA9" w:rsidP="00A646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262DB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C Hodges, '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Nordic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Compensation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Schemes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for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Drug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Injuries' (2006) 29 </w:t>
      </w:r>
      <w:proofErr w:type="spellStart"/>
      <w:r w:rsidRPr="00D262DB">
        <w:rPr>
          <w:rStyle w:val="Emphasis"/>
          <w:rFonts w:ascii="Times New Roman" w:hAnsi="Times New Roman" w:cs="Times New Roman"/>
          <w:sz w:val="20"/>
          <w:szCs w:val="20"/>
          <w:lang w:val="es-ES"/>
        </w:rPr>
        <w:t>Journal</w:t>
      </w:r>
      <w:proofErr w:type="spellEnd"/>
      <w:r w:rsidRPr="00D262DB">
        <w:rPr>
          <w:rStyle w:val="Emphasis"/>
          <w:rFonts w:ascii="Times New Roman" w:hAnsi="Times New Roman" w:cs="Times New Roman"/>
          <w:sz w:val="20"/>
          <w:szCs w:val="20"/>
          <w:lang w:val="es-ES"/>
        </w:rPr>
        <w:t xml:space="preserve"> of </w:t>
      </w:r>
      <w:proofErr w:type="spellStart"/>
      <w:r w:rsidRPr="00D262DB">
        <w:rPr>
          <w:rStyle w:val="Emphasis"/>
          <w:rFonts w:ascii="Times New Roman" w:hAnsi="Times New Roman" w:cs="Times New Roman"/>
          <w:sz w:val="20"/>
          <w:szCs w:val="20"/>
          <w:lang w:val="es-ES"/>
        </w:rPr>
        <w:t>Consumer</w:t>
      </w:r>
      <w:proofErr w:type="spellEnd"/>
      <w:r w:rsidRPr="00D262DB">
        <w:rPr>
          <w:rStyle w:val="Emphasis"/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Style w:val="Emphasis"/>
          <w:rFonts w:ascii="Times New Roman" w:hAnsi="Times New Roman" w:cs="Times New Roman"/>
          <w:sz w:val="20"/>
          <w:szCs w:val="20"/>
          <w:lang w:val="es-ES"/>
        </w:rPr>
        <w:t>Policy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143.</w:t>
      </w:r>
    </w:p>
  </w:footnote>
  <w:footnote w:id="20">
    <w:p w14:paraId="6955F253" w14:textId="6FCA069B" w:rsidR="00120EA9" w:rsidRPr="00D262DB" w:rsidRDefault="00120EA9" w:rsidP="00C25FA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134C3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34C37">
        <w:rPr>
          <w:rFonts w:ascii="Times New Roman" w:hAnsi="Times New Roman" w:cs="Times New Roman"/>
          <w:sz w:val="20"/>
          <w:szCs w:val="20"/>
        </w:rPr>
        <w:t xml:space="preserve"> 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Reglamento de la Comisión (CE) 861/2007 del Parlamento Europeo y del Consejo de 11 de julio de 2007 por el que se establece un proceso europeo de escasa cuantía [2007] OJ L 199/1. </w:t>
      </w:r>
      <w:r w:rsidR="00D262DB">
        <w:rPr>
          <w:rFonts w:ascii="Times New Roman" w:hAnsi="Times New Roman" w:cs="Times New Roman"/>
          <w:sz w:val="20"/>
          <w:szCs w:val="20"/>
          <w:lang w:val="es-ES"/>
        </w:rPr>
        <w:t>Véase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G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Haibach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>, ‘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Commission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Proposal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for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Regulation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Establishing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a European Small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Claims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Procedures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An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Analysis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’ [2005] </w:t>
      </w:r>
      <w:r w:rsidRPr="00D262DB">
        <w:rPr>
          <w:rFonts w:ascii="Times New Roman" w:hAnsi="Times New Roman" w:cs="Times New Roman"/>
          <w:i/>
          <w:sz w:val="20"/>
          <w:szCs w:val="20"/>
          <w:lang w:val="es-ES"/>
        </w:rPr>
        <w:t>ERPL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293-601; E Hondius, ‘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Towards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a European Small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Claims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Procedure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’, </w:t>
      </w:r>
      <w:r w:rsidR="00D262DB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L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Thévenoz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and N Reich (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eds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),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Liber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amicorum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Bernd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Stauder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,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Consumer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Law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r w:rsidR="00D262DB">
        <w:rPr>
          <w:rFonts w:ascii="Times New Roman" w:hAnsi="Times New Roman" w:cs="Times New Roman"/>
          <w:sz w:val="20"/>
          <w:szCs w:val="20"/>
          <w:lang w:val="es-ES"/>
        </w:rPr>
        <w:t>Ginebra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Schulthess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>, 2006) 131; J Baldwin, ‘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Is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There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Limit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to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Expansion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of Small Claims?’ </w:t>
      </w:r>
      <w:r w:rsidR="00D262DB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MDA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Freeman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ed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>),</w:t>
      </w:r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Current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Legal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Problems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vol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56 (Oxford, Oxford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University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Press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, 2004) 313; CJ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Whelan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ed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), </w:t>
      </w:r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Small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Claims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Courts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- A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Comparative</w:t>
      </w:r>
      <w:proofErr w:type="spellEnd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iCs/>
          <w:sz w:val="20"/>
          <w:szCs w:val="20"/>
          <w:lang w:val="es-ES"/>
        </w:rPr>
        <w:t>Study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(Oxford,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Clarendon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sz w:val="20"/>
          <w:szCs w:val="20"/>
          <w:lang w:val="es-ES"/>
        </w:rPr>
        <w:t>Press</w:t>
      </w:r>
      <w:proofErr w:type="spellEnd"/>
      <w:r w:rsidRPr="00D262DB">
        <w:rPr>
          <w:rFonts w:ascii="Times New Roman" w:hAnsi="Times New Roman" w:cs="Times New Roman"/>
          <w:sz w:val="20"/>
          <w:szCs w:val="20"/>
          <w:lang w:val="es-ES"/>
        </w:rPr>
        <w:t>, 1990) 253.</w:t>
      </w:r>
    </w:p>
  </w:footnote>
  <w:footnote w:id="21">
    <w:p w14:paraId="213E51AA" w14:textId="5950D6FE" w:rsidR="00120EA9" w:rsidRPr="00D262DB" w:rsidRDefault="00120EA9" w:rsidP="00C25FA3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</w:t>
      </w:r>
      <w:r w:rsidR="00E97784">
        <w:rPr>
          <w:rFonts w:ascii="Times New Roman" w:hAnsi="Times New Roman" w:cs="Times New Roman"/>
          <w:lang w:val="es-ES"/>
        </w:rPr>
        <w:t>Véase</w:t>
      </w:r>
      <w:r w:rsidRPr="00D262DB">
        <w:rPr>
          <w:rFonts w:ascii="Times New Roman" w:hAnsi="Times New Roman" w:cs="Times New Roman"/>
          <w:lang w:val="es-ES"/>
        </w:rPr>
        <w:t xml:space="preserve"> R </w:t>
      </w:r>
      <w:proofErr w:type="spellStart"/>
      <w:r w:rsidRPr="00D262DB">
        <w:rPr>
          <w:rFonts w:ascii="Times New Roman" w:hAnsi="Times New Roman" w:cs="Times New Roman"/>
          <w:lang w:val="es-ES"/>
        </w:rPr>
        <w:t>Mulheron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Class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Action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in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Common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Law Legal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Systems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: A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Comparative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Perspective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(Oxford, Hart Publishing, 2004); C Hodges,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Reform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Class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and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Representative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Actions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in European Legal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Systems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: A New Framework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for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Collective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Redress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in Europe</w:t>
      </w:r>
      <w:r w:rsidRPr="00D262DB">
        <w:rPr>
          <w:rFonts w:ascii="Times New Roman" w:hAnsi="Times New Roman" w:cs="Times New Roman"/>
          <w:lang w:val="es-ES"/>
        </w:rPr>
        <w:t xml:space="preserve"> (Oxford, Hart Publishing, 2008); D Hensler </w:t>
      </w:r>
      <w:r w:rsidR="00E97784">
        <w:rPr>
          <w:rFonts w:ascii="Times New Roman" w:hAnsi="Times New Roman" w:cs="Times New Roman"/>
          <w:lang w:val="es-ES"/>
        </w:rPr>
        <w:t>y</w:t>
      </w:r>
      <w:r w:rsidRPr="00D262DB">
        <w:rPr>
          <w:rFonts w:ascii="Times New Roman" w:hAnsi="Times New Roman" w:cs="Times New Roman"/>
          <w:lang w:val="es-ES"/>
        </w:rPr>
        <w:t xml:space="preserve"> C Hodges, ‘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Globalisation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D262DB">
        <w:rPr>
          <w:rFonts w:ascii="Times New Roman" w:hAnsi="Times New Roman" w:cs="Times New Roman"/>
          <w:lang w:val="es-ES"/>
        </w:rPr>
        <w:t>Class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Actions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’ (2009) 622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Annals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American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Academy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Political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and Social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Science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7-345.</w:t>
      </w:r>
    </w:p>
  </w:footnote>
  <w:footnote w:id="22">
    <w:p w14:paraId="0A5D95B8" w14:textId="05885DC7" w:rsidR="00120EA9" w:rsidRPr="00D262DB" w:rsidRDefault="00120EA9" w:rsidP="00C25FA3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C </w:t>
      </w:r>
      <w:proofErr w:type="spellStart"/>
      <w:r w:rsidRPr="00D262DB">
        <w:rPr>
          <w:rFonts w:ascii="Times New Roman" w:hAnsi="Times New Roman" w:cs="Times New Roman"/>
          <w:lang w:val="es-ES"/>
        </w:rPr>
        <w:t>Crifò</w:t>
      </w:r>
      <w:proofErr w:type="spellEnd"/>
      <w:r w:rsidRPr="00D262DB">
        <w:rPr>
          <w:rFonts w:ascii="Times New Roman" w:hAnsi="Times New Roman" w:cs="Times New Roman"/>
          <w:lang w:val="es-ES"/>
        </w:rPr>
        <w:t>, ‘</w:t>
      </w:r>
      <w:proofErr w:type="spellStart"/>
      <w:r w:rsidRPr="00D262DB">
        <w:rPr>
          <w:rFonts w:ascii="Times New Roman" w:hAnsi="Times New Roman" w:cs="Times New Roman"/>
          <w:lang w:val="es-ES"/>
        </w:rPr>
        <w:t>Europeanisation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262DB">
        <w:rPr>
          <w:rFonts w:ascii="Times New Roman" w:hAnsi="Times New Roman" w:cs="Times New Roman"/>
          <w:lang w:val="es-ES"/>
        </w:rPr>
        <w:t>Harmonisation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D262DB">
        <w:rPr>
          <w:rFonts w:ascii="Times New Roman" w:hAnsi="Times New Roman" w:cs="Times New Roman"/>
          <w:lang w:val="es-ES"/>
        </w:rPr>
        <w:t>Unspoken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Premises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Case of </w:t>
      </w:r>
      <w:proofErr w:type="spellStart"/>
      <w:r w:rsidRPr="00D262DB">
        <w:rPr>
          <w:rFonts w:ascii="Times New Roman" w:hAnsi="Times New Roman" w:cs="Times New Roman"/>
          <w:lang w:val="es-ES"/>
        </w:rPr>
        <w:t>Service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Rules in 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Regulation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on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a European Small </w:t>
      </w:r>
      <w:proofErr w:type="spellStart"/>
      <w:r w:rsidRPr="00D262DB">
        <w:rPr>
          <w:rFonts w:ascii="Times New Roman" w:hAnsi="Times New Roman" w:cs="Times New Roman"/>
          <w:lang w:val="es-ES"/>
        </w:rPr>
        <w:t>Claims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Procedure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(Reg. No. 861/2007)’ (2011) 30 </w:t>
      </w:r>
      <w:r w:rsidRPr="00D262DB">
        <w:rPr>
          <w:rFonts w:ascii="Times New Roman" w:hAnsi="Times New Roman" w:cs="Times New Roman"/>
          <w:i/>
          <w:lang w:val="es-ES"/>
        </w:rPr>
        <w:t xml:space="preserve">Civil Justice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Quarterly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283 (‘</w:t>
      </w:r>
      <w:proofErr w:type="spellStart"/>
      <w:r w:rsidRPr="00D262DB">
        <w:rPr>
          <w:rFonts w:ascii="Times New Roman" w:hAnsi="Times New Roman" w:cs="Times New Roman"/>
          <w:lang w:val="es-ES"/>
        </w:rPr>
        <w:t>an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ungainly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juggernaut</w:t>
      </w:r>
      <w:proofErr w:type="spellEnd"/>
      <w:r w:rsidRPr="00D262DB">
        <w:rPr>
          <w:rFonts w:ascii="Times New Roman" w:hAnsi="Times New Roman" w:cs="Times New Roman"/>
          <w:lang w:val="es-ES"/>
        </w:rPr>
        <w:t>’; ‘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legal </w:t>
      </w:r>
      <w:proofErr w:type="spellStart"/>
      <w:r w:rsidRPr="00D262DB">
        <w:rPr>
          <w:rFonts w:ascii="Times New Roman" w:hAnsi="Times New Roman" w:cs="Times New Roman"/>
          <w:lang w:val="es-ES"/>
        </w:rPr>
        <w:t>landscape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appears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262DB">
        <w:rPr>
          <w:rFonts w:ascii="Times New Roman" w:hAnsi="Times New Roman" w:cs="Times New Roman"/>
          <w:lang w:val="es-ES"/>
        </w:rPr>
        <w:t>far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from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simplified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262DB">
        <w:rPr>
          <w:rFonts w:ascii="Times New Roman" w:hAnsi="Times New Roman" w:cs="Times New Roman"/>
          <w:lang w:val="es-ES"/>
        </w:rPr>
        <w:t>further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complicated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’); XE Kramer, ‘Small </w:t>
      </w:r>
      <w:proofErr w:type="spellStart"/>
      <w:r w:rsidRPr="00D262DB">
        <w:rPr>
          <w:rFonts w:ascii="Times New Roman" w:hAnsi="Times New Roman" w:cs="Times New Roman"/>
          <w:lang w:val="es-ES"/>
        </w:rPr>
        <w:t>Claim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, Simple </w:t>
      </w:r>
      <w:proofErr w:type="spellStart"/>
      <w:r w:rsidRPr="00D262DB">
        <w:rPr>
          <w:rFonts w:ascii="Times New Roman" w:hAnsi="Times New Roman" w:cs="Times New Roman"/>
          <w:lang w:val="es-ES"/>
        </w:rPr>
        <w:t>Recovery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?’ (2011) 1 </w:t>
      </w:r>
      <w:r w:rsidRPr="00D262DB">
        <w:rPr>
          <w:rFonts w:ascii="Times New Roman" w:hAnsi="Times New Roman" w:cs="Times New Roman"/>
          <w:i/>
          <w:lang w:val="es-ES"/>
        </w:rPr>
        <w:t>ERA Forum</w:t>
      </w:r>
      <w:r w:rsidRPr="00D262DB">
        <w:rPr>
          <w:rFonts w:ascii="Times New Roman" w:hAnsi="Times New Roman" w:cs="Times New Roman"/>
          <w:lang w:val="es-ES"/>
        </w:rPr>
        <w:t xml:space="preserve"> 119. Véase también, XE Kramer y EA Ontanu, ‘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Functioning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European Small </w:t>
      </w:r>
      <w:proofErr w:type="spellStart"/>
      <w:r w:rsidRPr="00D262DB">
        <w:rPr>
          <w:rFonts w:ascii="Times New Roman" w:hAnsi="Times New Roman" w:cs="Times New Roman"/>
          <w:lang w:val="es-ES"/>
        </w:rPr>
        <w:t>Claims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Procedure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D262DB">
        <w:rPr>
          <w:rFonts w:ascii="Times New Roman" w:hAnsi="Times New Roman" w:cs="Times New Roman"/>
          <w:lang w:val="es-ES"/>
        </w:rPr>
        <w:t>the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Netherlands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D262DB">
        <w:rPr>
          <w:rFonts w:ascii="Times New Roman" w:hAnsi="Times New Roman" w:cs="Times New Roman"/>
          <w:lang w:val="es-ES"/>
        </w:rPr>
        <w:t>Normative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D262DB">
        <w:rPr>
          <w:rFonts w:ascii="Times New Roman" w:hAnsi="Times New Roman" w:cs="Times New Roman"/>
          <w:lang w:val="es-ES"/>
        </w:rPr>
        <w:t>Empirical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lang w:val="es-ES"/>
        </w:rPr>
        <w:t>Reflections</w:t>
      </w:r>
      <w:proofErr w:type="spellEnd"/>
      <w:r w:rsidRPr="00D262DB">
        <w:rPr>
          <w:rFonts w:ascii="Times New Roman" w:hAnsi="Times New Roman" w:cs="Times New Roman"/>
          <w:lang w:val="es-ES"/>
        </w:rPr>
        <w:t xml:space="preserve">’ (2013) 3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Nederlands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Internationaal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Privaatrecht</w:t>
      </w:r>
      <w:r w:rsidRPr="00D262DB">
        <w:rPr>
          <w:rFonts w:ascii="Times New Roman" w:hAnsi="Times New Roman" w:cs="Times New Roman"/>
          <w:lang w:val="es-ES"/>
        </w:rPr>
        <w:t xml:space="preserve"> 319-28 ("el número de casos tramitados por los cauces del </w:t>
      </w:r>
      <w:r w:rsidR="00E97784">
        <w:rPr>
          <w:rFonts w:ascii="Times New Roman" w:hAnsi="Times New Roman" w:cs="Times New Roman"/>
          <w:lang w:val="es-ES"/>
        </w:rPr>
        <w:t>PEEC</w:t>
      </w:r>
      <w:r w:rsidRPr="00D262DB">
        <w:rPr>
          <w:rFonts w:ascii="Times New Roman" w:hAnsi="Times New Roman" w:cs="Times New Roman"/>
          <w:lang w:val="es-ES"/>
        </w:rPr>
        <w:t xml:space="preserve"> es limitado... Al parecer, los consumidores todavía encuentran dificultades para llegar a este procedimiento… cuya duración oscila de media entre los tres y los cinco meses").</w:t>
      </w:r>
    </w:p>
  </w:footnote>
  <w:footnote w:id="23">
    <w:p w14:paraId="43457D33" w14:textId="7A1BAC6D" w:rsidR="00120EA9" w:rsidRPr="00D262DB" w:rsidRDefault="00120EA9" w:rsidP="00C25FA3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J Stuyck et al, 41.</w:t>
      </w:r>
    </w:p>
  </w:footnote>
  <w:footnote w:id="24">
    <w:p w14:paraId="5BE0E0B2" w14:textId="1299F80E" w:rsidR="00120EA9" w:rsidRPr="00D262DB" w:rsidRDefault="00120EA9" w:rsidP="00C25FA3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62DB">
        <w:rPr>
          <w:rFonts w:ascii="Times New Roman" w:hAnsi="Times New Roman" w:cs="Times New Roman"/>
          <w:i/>
          <w:lang w:val="es-ES"/>
        </w:rPr>
        <w:t>Eurobarómetro</w:t>
      </w:r>
      <w:proofErr w:type="spellEnd"/>
      <w:r w:rsidRPr="00D262DB">
        <w:rPr>
          <w:rFonts w:ascii="Times New Roman" w:hAnsi="Times New Roman" w:cs="Times New Roman"/>
          <w:i/>
          <w:lang w:val="es-ES"/>
        </w:rPr>
        <w:t xml:space="preserve"> especial 342</w:t>
      </w:r>
      <w:r w:rsidRPr="00D262DB">
        <w:rPr>
          <w:rFonts w:ascii="Times New Roman" w:hAnsi="Times New Roman" w:cs="Times New Roman"/>
          <w:lang w:val="es-ES"/>
        </w:rPr>
        <w:t xml:space="preserve">, </w:t>
      </w:r>
      <w:r w:rsidRPr="00D262DB">
        <w:rPr>
          <w:rFonts w:ascii="Times New Roman" w:hAnsi="Times New Roman" w:cs="Times New Roman"/>
          <w:i/>
          <w:lang w:val="es-ES"/>
        </w:rPr>
        <w:t>Poder de los consumidores</w:t>
      </w:r>
      <w:r w:rsidRPr="00D262DB">
        <w:rPr>
          <w:rFonts w:ascii="Times New Roman" w:hAnsi="Times New Roman" w:cs="Times New Roman"/>
          <w:lang w:val="es-ES"/>
        </w:rPr>
        <w:t xml:space="preserve"> (Comisión Europea, 2011), disponible en inglés en ec.europa.eu/consumers/consumer_empowerment/docs/report_eurobarometer_342_en.pdf, p. 175.</w:t>
      </w:r>
    </w:p>
  </w:footnote>
  <w:footnote w:id="25">
    <w:p w14:paraId="7AC986D5" w14:textId="7A884CB0" w:rsidR="00120EA9" w:rsidRPr="00D262DB" w:rsidRDefault="00120EA9" w:rsidP="00C25FA3">
      <w:pPr>
        <w:pStyle w:val="Default"/>
        <w:rPr>
          <w:rFonts w:ascii="Times New Roman" w:hAnsi="Times New Roman"/>
          <w:color w:val="auto"/>
          <w:sz w:val="20"/>
          <w:szCs w:val="20"/>
          <w:lang w:val="es-ES"/>
        </w:rPr>
      </w:pPr>
      <w:r w:rsidRPr="00D262DB">
        <w:rPr>
          <w:rStyle w:val="FootnoteReference"/>
          <w:rFonts w:ascii="Times New Roman" w:hAnsi="Times New Roman"/>
          <w:sz w:val="20"/>
          <w:szCs w:val="20"/>
          <w:lang w:val="es-ES"/>
        </w:rPr>
        <w:footnoteRef/>
      </w:r>
      <w:r w:rsidRPr="00D262DB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D262DB">
        <w:rPr>
          <w:rFonts w:ascii="Times New Roman" w:hAnsi="Times New Roman"/>
          <w:color w:val="auto"/>
          <w:sz w:val="20"/>
          <w:szCs w:val="20"/>
          <w:lang w:val="es-ES"/>
        </w:rPr>
        <w:t>Informe de la Comisión al Parlamento Europeo, el Consejo y el Consejo Europeo Económico y Social de 19 de noviembre de 2013 sobre la aplicación del Reglamento (CE) nº 861/2007 del Parlamento Europeo y del Consejo por el que se establece el proceso europeo de escasa cuantía COM(2013) 795.</w:t>
      </w:r>
    </w:p>
  </w:footnote>
  <w:footnote w:id="26">
    <w:p w14:paraId="0BC930F7" w14:textId="036994F1" w:rsidR="00120EA9" w:rsidRPr="00D262DB" w:rsidRDefault="00120EA9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</w:t>
      </w:r>
      <w:r w:rsidRPr="00D262DB">
        <w:rPr>
          <w:rFonts w:ascii="Times New Roman" w:hAnsi="Times New Roman" w:cs="Times New Roman"/>
          <w:bCs/>
          <w:lang w:val="es-ES"/>
        </w:rPr>
        <w:t xml:space="preserve">Reglamento (EU) 2015/2421 del Parlamento Europeo y del Consejo de 16 de diciembre de 2015 por el que se modifica el Reglamento (CE) nº 861/2007 por el que se establece un proceso de escasa cuantía y el Reglamento (CE) nº 1896/2006 por el que se establece un proceso monitorio europeo </w:t>
      </w:r>
      <w:r w:rsidRPr="00D262DB">
        <w:rPr>
          <w:rFonts w:ascii="Times New Roman" w:hAnsi="Times New Roman" w:cs="Times New Roman"/>
          <w:lang w:val="es-ES"/>
        </w:rPr>
        <w:t>(OJ 2015, L341/1).</w:t>
      </w:r>
    </w:p>
  </w:footnote>
  <w:footnote w:id="27">
    <w:p w14:paraId="4D4DA6D2" w14:textId="784E5E3A" w:rsidR="00120EA9" w:rsidRPr="00D262DB" w:rsidRDefault="00120EA9" w:rsidP="00F66109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Propuesta de Reglamento del Parlamento Europe y del Consejo por la que se modifica </w:t>
      </w:r>
      <w:r w:rsidRPr="00D262DB">
        <w:rPr>
          <w:rFonts w:ascii="Times New Roman" w:hAnsi="Times New Roman" w:cs="Times New Roman"/>
          <w:bCs/>
          <w:lang w:val="es-ES"/>
        </w:rPr>
        <w:t>Reglamento (CE) nº 861/2007 por el que se establece un proceso de escasa cuantía y el Reglamento (CE) nº 1896/2006 por el que se establece un proceso monitorio europeo</w:t>
      </w:r>
      <w:r w:rsidRPr="00D262DB">
        <w:rPr>
          <w:rFonts w:ascii="Times New Roman" w:hAnsi="Times New Roman" w:cs="Times New Roman"/>
          <w:lang w:val="es-ES"/>
        </w:rPr>
        <w:t xml:space="preserve"> COM (2013) 794 final.</w:t>
      </w:r>
    </w:p>
  </w:footnote>
  <w:footnote w:id="28">
    <w:p w14:paraId="4B454E64" w14:textId="0E724EE9" w:rsidR="00120EA9" w:rsidRPr="00D262DB" w:rsidRDefault="00120EA9" w:rsidP="00C25FA3">
      <w:pPr>
        <w:pStyle w:val="FootnoteText"/>
        <w:rPr>
          <w:rFonts w:ascii="Times New Roman" w:hAnsi="Times New Roman" w:cs="Times New Roman"/>
          <w:lang w:val="es-ES"/>
        </w:rPr>
      </w:pPr>
      <w:r w:rsidRPr="00D262DB">
        <w:rPr>
          <w:rStyle w:val="FootnoteReference"/>
          <w:rFonts w:ascii="Times New Roman" w:hAnsi="Times New Roman" w:cs="Times New Roman"/>
          <w:lang w:val="es-ES"/>
        </w:rPr>
        <w:footnoteRef/>
      </w:r>
      <w:r w:rsidRPr="00D262DB">
        <w:rPr>
          <w:rFonts w:ascii="Times New Roman" w:hAnsi="Times New Roman" w:cs="Times New Roman"/>
          <w:lang w:val="es-ES"/>
        </w:rPr>
        <w:t xml:space="preserve"> Resolución del Parlamento Europeo de 2 de febrero de 2012 "Hacia un planteamiento europeo coherente del recurso colectivo" 2011/2089(INI); Comisión Europea, MEMO/08/741, 4.</w:t>
      </w:r>
    </w:p>
  </w:footnote>
  <w:footnote w:id="29">
    <w:p w14:paraId="3CDD249A" w14:textId="5EFE129D" w:rsidR="00120EA9" w:rsidRPr="00E97784" w:rsidRDefault="00120EA9" w:rsidP="00C25FA3">
      <w:pPr>
        <w:pStyle w:val="FootnoteText"/>
        <w:rPr>
          <w:rFonts w:ascii="Times New Roman" w:hAnsi="Times New Roman" w:cs="Times New Roman"/>
          <w:lang w:val="es-ES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 w:rsidRPr="00E97784">
        <w:rPr>
          <w:rFonts w:ascii="Times New Roman" w:hAnsi="Times New Roman" w:cs="Times New Roman"/>
          <w:lang w:val="es-ES"/>
        </w:rPr>
        <w:t>Recomendación de la Comisión de 11 de junio de 2013 sobre principios comunes aplicables a los mecanismos de recurso colectivo de cesación o de indemnización en los Estados miembros en caso de violación de los derechos reconocidos por el Derecho de la Unión .COM(2013) 3539/3.</w:t>
      </w:r>
    </w:p>
  </w:footnote>
  <w:footnote w:id="30">
    <w:p w14:paraId="0AD1EC5C" w14:textId="4DC47C30" w:rsidR="00120EA9" w:rsidRPr="00E97784" w:rsidRDefault="00120EA9" w:rsidP="00C2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97784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Véase C Hodges, ‘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Collective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Redress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: A 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Breakthrough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or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Damp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Sqibb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?’ (2014) 34 </w:t>
      </w:r>
      <w:proofErr w:type="spellStart"/>
      <w:r w:rsidRPr="00E97784">
        <w:rPr>
          <w:rFonts w:ascii="Times New Roman" w:hAnsi="Times New Roman" w:cs="Times New Roman"/>
          <w:i/>
          <w:sz w:val="20"/>
          <w:szCs w:val="20"/>
          <w:lang w:val="es-ES"/>
        </w:rPr>
        <w:t>Journal</w:t>
      </w:r>
      <w:proofErr w:type="spellEnd"/>
      <w:r w:rsidRPr="00E97784">
        <w:rPr>
          <w:rFonts w:ascii="Times New Roman" w:hAnsi="Times New Roman" w:cs="Times New Roman"/>
          <w:i/>
          <w:sz w:val="20"/>
          <w:szCs w:val="20"/>
          <w:lang w:val="es-ES"/>
        </w:rPr>
        <w:t xml:space="preserve"> of </w:t>
      </w:r>
      <w:proofErr w:type="spellStart"/>
      <w:r w:rsidRPr="00E97784">
        <w:rPr>
          <w:rFonts w:ascii="Times New Roman" w:hAnsi="Times New Roman" w:cs="Times New Roman"/>
          <w:i/>
          <w:sz w:val="20"/>
          <w:szCs w:val="20"/>
          <w:lang w:val="es-ES"/>
        </w:rPr>
        <w:t>Consumer</w:t>
      </w:r>
      <w:proofErr w:type="spellEnd"/>
      <w:r w:rsidRPr="00E97784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i/>
          <w:sz w:val="20"/>
          <w:szCs w:val="20"/>
          <w:lang w:val="es-ES"/>
        </w:rPr>
        <w:t>Policy</w:t>
      </w:r>
      <w:proofErr w:type="spellEnd"/>
      <w:r w:rsidRPr="00E97784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Pr="00E97784">
        <w:rPr>
          <w:rFonts w:ascii="Times New Roman" w:hAnsi="Times New Roman" w:cs="Times New Roman"/>
          <w:sz w:val="20"/>
          <w:szCs w:val="20"/>
          <w:lang w:val="es-ES"/>
        </w:rPr>
        <w:t>67-89.</w:t>
      </w:r>
    </w:p>
  </w:footnote>
  <w:footnote w:id="31">
    <w:p w14:paraId="326532AE" w14:textId="44375610" w:rsidR="00120EA9" w:rsidRPr="00E97784" w:rsidRDefault="00120EA9" w:rsidP="00C25FA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97784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Civic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sz w:val="20"/>
          <w:szCs w:val="20"/>
          <w:lang w:val="es-ES"/>
        </w:rPr>
        <w:t>Consulting</w:t>
      </w:r>
      <w:proofErr w:type="spellEnd"/>
      <w:r w:rsidRPr="00E97784">
        <w:rPr>
          <w:rFonts w:ascii="Times New Roman" w:hAnsi="Times New Roman" w:cs="Times New Roman"/>
          <w:sz w:val="20"/>
          <w:szCs w:val="20"/>
          <w:lang w:val="es-ES"/>
        </w:rPr>
        <w:t>, 33.</w:t>
      </w:r>
    </w:p>
  </w:footnote>
  <w:footnote w:id="32">
    <w:p w14:paraId="11A8A56C" w14:textId="0796827C" w:rsidR="00120EA9" w:rsidRPr="00E97784" w:rsidRDefault="00120EA9" w:rsidP="00E12410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97784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Recomendación de la Comisión 98/257/CE relativa a los principios aplicables a los órganos responsables de la solución extrajudicial de los litigios en materia de consumo [1998] OJ L155/31; Recomendación de la Comisión 2001/310/CE relativa a los principios aplicables a los órganos extrajudiciales de resolución consensual de litigios en materia de consumo [2001] OJ L109, 56-61; Código de Conducta Europeo para mediadores, 2004, véase http://ec.europa.eu/civiljustice/adr/adr_ec_code_conduct_es.pdf. </w:t>
      </w:r>
    </w:p>
  </w:footnote>
  <w:footnote w:id="33">
    <w:p w14:paraId="0DDEC8ED" w14:textId="4BE51932" w:rsidR="00120EA9" w:rsidRPr="00E97784" w:rsidRDefault="00120EA9" w:rsidP="00E12410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E97784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E97784">
        <w:rPr>
          <w:rFonts w:ascii="Times New Roman" w:hAnsi="Times New Roman" w:cs="Times New Roman"/>
          <w:sz w:val="20"/>
          <w:szCs w:val="20"/>
          <w:lang w:val="es-ES"/>
        </w:rPr>
        <w:t xml:space="preserve"> Directiva 2008/52/CE del Parlamento Europeo y del Consejo de 21 de mayo de 2008 sobre ciertos aspectos de la mediación en asuntos civiles y mercantiles [2008] OJ L136/3.</w:t>
      </w:r>
    </w:p>
  </w:footnote>
  <w:footnote w:id="34">
    <w:p w14:paraId="6B44D50A" w14:textId="16463CD6" w:rsidR="00120EA9" w:rsidRPr="00E97784" w:rsidRDefault="00120EA9" w:rsidP="00C25FA3">
      <w:pPr>
        <w:pStyle w:val="FootnoteText"/>
        <w:rPr>
          <w:rFonts w:ascii="Times New Roman" w:hAnsi="Times New Roman" w:cs="Times New Roman"/>
          <w:lang w:val="es-ES"/>
        </w:rPr>
      </w:pPr>
      <w:r w:rsidRPr="00E97784">
        <w:rPr>
          <w:rStyle w:val="FootnoteReference"/>
          <w:rFonts w:ascii="Times New Roman" w:hAnsi="Times New Roman" w:cs="Times New Roman"/>
          <w:lang w:val="es-ES"/>
        </w:rPr>
        <w:footnoteRef/>
      </w:r>
      <w:r w:rsidRPr="00E97784">
        <w:rPr>
          <w:rFonts w:ascii="Times New Roman" w:hAnsi="Times New Roman" w:cs="Times New Roman"/>
          <w:lang w:val="es-ES"/>
        </w:rPr>
        <w:t xml:space="preserve"> Directiva 2013/11/EU de 21 de mayo de 2013 relativa a la resolución alternativa de litigios en materia de consumo y por la que se modifica el Reglamento (CE) nº 2006/2004 y la Directiva 2009/22/CE (Directiva sobre resolución alternativa de litigios en materia de consumo) [2013] OJ L165, Considerando 4.</w:t>
      </w:r>
    </w:p>
  </w:footnote>
  <w:footnote w:id="35">
    <w:p w14:paraId="63A92C02" w14:textId="319CD466" w:rsidR="00120EA9" w:rsidRPr="00E97784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E97784">
        <w:rPr>
          <w:rStyle w:val="FootnoteReference"/>
          <w:rFonts w:ascii="Times New Roman" w:hAnsi="Times New Roman" w:cs="Times New Roman"/>
          <w:lang w:val="es-ES"/>
        </w:rPr>
        <w:footnoteRef/>
      </w:r>
      <w:r w:rsidRPr="00E97784">
        <w:rPr>
          <w:rFonts w:ascii="Times New Roman" w:hAnsi="Times New Roman" w:cs="Times New Roman"/>
          <w:lang w:val="es-ES"/>
        </w:rPr>
        <w:t xml:space="preserve"> Directiva 2013/11 relativa a la resolución alternativa de litigios en materia de consumo y por la que se modifica el Reglamento (CE) nº 2006/2004 y la Directiva 2009/22/CE (Directiva sobre resolución alternativa de litigios en materia de consumo.</w:t>
      </w:r>
    </w:p>
  </w:footnote>
  <w:footnote w:id="36">
    <w:p w14:paraId="6C0A33CC" w14:textId="43A8E823" w:rsidR="00120EA9" w:rsidRPr="00E97784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E97784">
        <w:rPr>
          <w:rStyle w:val="FootnoteReference"/>
          <w:rFonts w:ascii="Times New Roman" w:hAnsi="Times New Roman" w:cs="Times New Roman"/>
          <w:lang w:val="es-ES"/>
        </w:rPr>
        <w:footnoteRef/>
      </w:r>
      <w:r w:rsidRPr="00E97784">
        <w:rPr>
          <w:rFonts w:ascii="Times New Roman" w:hAnsi="Times New Roman" w:cs="Times New Roman"/>
          <w:lang w:val="es-ES"/>
        </w:rPr>
        <w:t xml:space="preserve"> Directiva 2013/11/EU, art. 2.2.</w:t>
      </w:r>
    </w:p>
  </w:footnote>
  <w:footnote w:id="37">
    <w:p w14:paraId="37DA42E4" w14:textId="0AE03CA0" w:rsidR="00120EA9" w:rsidRPr="00E97784" w:rsidRDefault="00120EA9" w:rsidP="00F66109">
      <w:pPr>
        <w:pStyle w:val="FootnoteText"/>
        <w:rPr>
          <w:rFonts w:ascii="Times New Roman" w:hAnsi="Times New Roman" w:cs="Times New Roman"/>
          <w:lang w:val="es-ES"/>
        </w:rPr>
      </w:pPr>
      <w:r w:rsidRPr="00E97784">
        <w:rPr>
          <w:rStyle w:val="FootnoteReference"/>
          <w:rFonts w:ascii="Times New Roman" w:hAnsi="Times New Roman" w:cs="Times New Roman"/>
          <w:lang w:val="es-ES"/>
        </w:rPr>
        <w:footnoteRef/>
      </w:r>
      <w:r w:rsidRPr="00E9778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lang w:val="es-ES"/>
        </w:rPr>
        <w:t>ibid</w:t>
      </w:r>
      <w:proofErr w:type="spellEnd"/>
      <w:r w:rsidRPr="00E97784">
        <w:rPr>
          <w:rFonts w:ascii="Times New Roman" w:hAnsi="Times New Roman" w:cs="Times New Roman"/>
          <w:lang w:val="es-ES"/>
        </w:rPr>
        <w:t>, arts. 5-11. Los criterios son: conocimientos especializados, independencia, imparcialidad, transparencia, eficacia, equidad, libertad y legalidad.</w:t>
      </w:r>
    </w:p>
  </w:footnote>
  <w:footnote w:id="38">
    <w:p w14:paraId="4B4501E4" w14:textId="129E6164" w:rsidR="00120EA9" w:rsidRPr="00E97784" w:rsidRDefault="00120EA9" w:rsidP="00F66109">
      <w:pPr>
        <w:pStyle w:val="FootnoteText"/>
        <w:rPr>
          <w:rFonts w:ascii="Times New Roman" w:hAnsi="Times New Roman" w:cs="Times New Roman"/>
          <w:lang w:val="es-ES"/>
        </w:rPr>
      </w:pPr>
      <w:r w:rsidRPr="00E97784">
        <w:rPr>
          <w:rStyle w:val="FootnoteReference"/>
          <w:rFonts w:ascii="Times New Roman" w:hAnsi="Times New Roman" w:cs="Times New Roman"/>
          <w:lang w:val="es-ES"/>
        </w:rPr>
        <w:footnoteRef/>
      </w:r>
      <w:r w:rsidRPr="00E9778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7784">
        <w:rPr>
          <w:rFonts w:ascii="Times New Roman" w:hAnsi="Times New Roman" w:cs="Times New Roman"/>
          <w:lang w:val="es-ES"/>
        </w:rPr>
        <w:t>ibid</w:t>
      </w:r>
      <w:proofErr w:type="spellEnd"/>
      <w:r w:rsidRPr="00E97784">
        <w:rPr>
          <w:rFonts w:ascii="Times New Roman" w:hAnsi="Times New Roman" w:cs="Times New Roman"/>
          <w:lang w:val="es-ES"/>
        </w:rPr>
        <w:t>, arts. 13-15.</w:t>
      </w:r>
    </w:p>
  </w:footnote>
  <w:footnote w:id="39">
    <w:p w14:paraId="1D743F12" w14:textId="0CD5542C" w:rsidR="00120EA9" w:rsidRPr="00E97784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E97784">
        <w:rPr>
          <w:rStyle w:val="FootnoteReference"/>
          <w:rFonts w:ascii="Times New Roman" w:hAnsi="Times New Roman" w:cs="Times New Roman"/>
          <w:lang w:val="es-ES"/>
        </w:rPr>
        <w:footnoteRef/>
      </w:r>
      <w:r w:rsidRPr="00E97784">
        <w:rPr>
          <w:rFonts w:ascii="Times New Roman" w:hAnsi="Times New Roman" w:cs="Times New Roman"/>
          <w:lang w:val="es-ES"/>
        </w:rPr>
        <w:t xml:space="preserve"> Reglamento (CE) nº</w:t>
      </w:r>
      <w:r w:rsidR="00BC57C2">
        <w:rPr>
          <w:rFonts w:ascii="Times New Roman" w:hAnsi="Times New Roman" w:cs="Times New Roman"/>
          <w:lang w:val="es-ES"/>
        </w:rPr>
        <w:t xml:space="preserve"> 52</w:t>
      </w:r>
      <w:r w:rsidRPr="00E97784">
        <w:rPr>
          <w:rFonts w:ascii="Times New Roman" w:hAnsi="Times New Roman" w:cs="Times New Roman"/>
          <w:lang w:val="es-ES"/>
        </w:rPr>
        <w:t xml:space="preserve">4/2013 </w:t>
      </w:r>
      <w:r w:rsidR="003219AD">
        <w:rPr>
          <w:rFonts w:ascii="Times New Roman" w:hAnsi="Times New Roman" w:cs="Times New Roman"/>
          <w:lang w:val="es-ES"/>
        </w:rPr>
        <w:t>sobre la</w:t>
      </w:r>
      <w:r w:rsidR="00493DB0">
        <w:rPr>
          <w:rFonts w:ascii="Times New Roman" w:hAnsi="Times New Roman" w:cs="Times New Roman"/>
          <w:lang w:val="es-ES"/>
        </w:rPr>
        <w:t xml:space="preserve"> resolución de </w:t>
      </w:r>
      <w:r w:rsidR="00D43618">
        <w:rPr>
          <w:rFonts w:ascii="Times New Roman" w:hAnsi="Times New Roman" w:cs="Times New Roman"/>
          <w:lang w:val="es-ES"/>
        </w:rPr>
        <w:t>litigios</w:t>
      </w:r>
      <w:r w:rsidR="00493DB0">
        <w:rPr>
          <w:rFonts w:ascii="Times New Roman" w:hAnsi="Times New Roman" w:cs="Times New Roman"/>
          <w:lang w:val="es-ES"/>
        </w:rPr>
        <w:t xml:space="preserve"> en línea en materia de consumo</w:t>
      </w:r>
      <w:r w:rsidRPr="00E97784">
        <w:rPr>
          <w:rFonts w:ascii="Times New Roman" w:hAnsi="Times New Roman" w:cs="Times New Roman"/>
          <w:lang w:val="es-ES"/>
        </w:rPr>
        <w:t xml:space="preserve"> (</w:t>
      </w:r>
      <w:r w:rsidR="00493DB0">
        <w:rPr>
          <w:rFonts w:ascii="Times New Roman" w:hAnsi="Times New Roman" w:cs="Times New Roman"/>
          <w:lang w:val="es-ES"/>
        </w:rPr>
        <w:t>Reglamento ODR</w:t>
      </w:r>
      <w:r w:rsidRPr="00E97784">
        <w:rPr>
          <w:rFonts w:ascii="Times New Roman" w:hAnsi="Times New Roman" w:cs="Times New Roman"/>
          <w:lang w:val="es-ES"/>
        </w:rPr>
        <w:t xml:space="preserve">) </w:t>
      </w:r>
      <w:r w:rsidR="00BC57C2">
        <w:rPr>
          <w:rFonts w:ascii="Times New Roman" w:hAnsi="Times New Roman" w:cs="Times New Roman"/>
          <w:lang w:val="es-ES"/>
        </w:rPr>
        <w:t>y</w:t>
      </w:r>
      <w:r w:rsidRPr="00E97784">
        <w:rPr>
          <w:rFonts w:ascii="Times New Roman" w:hAnsi="Times New Roman" w:cs="Times New Roman"/>
          <w:lang w:val="es-ES"/>
        </w:rPr>
        <w:t xml:space="preserve"> </w:t>
      </w:r>
      <w:r w:rsidR="00BC57C2">
        <w:rPr>
          <w:rFonts w:ascii="Times New Roman" w:hAnsi="Times New Roman" w:cs="Times New Roman"/>
          <w:lang w:val="es-ES"/>
        </w:rPr>
        <w:t>Reglamento de Ejecución</w:t>
      </w:r>
      <w:r w:rsidRPr="00E97784">
        <w:rPr>
          <w:rFonts w:ascii="Times New Roman" w:hAnsi="Times New Roman" w:cs="Times New Roman"/>
          <w:lang w:val="es-ES"/>
        </w:rPr>
        <w:t xml:space="preserve"> 2015/1051 </w:t>
      </w:r>
      <w:r w:rsidR="00BC57C2">
        <w:rPr>
          <w:rFonts w:ascii="Times New Roman" w:hAnsi="Times New Roman" w:cs="Times New Roman"/>
          <w:lang w:val="es-ES"/>
        </w:rPr>
        <w:t>de la Comisión sobre las modalidades para el ejercicio de las funciones de la plataforma de resolución de litigios en línea.</w:t>
      </w:r>
      <w:r w:rsidRPr="00E97784">
        <w:rPr>
          <w:rFonts w:ascii="Times New Roman" w:hAnsi="Times New Roman" w:cs="Times New Roman"/>
          <w:lang w:val="es-ES"/>
        </w:rPr>
        <w:t xml:space="preserve"> </w:t>
      </w:r>
      <w:r w:rsidR="00BC57C2">
        <w:rPr>
          <w:rFonts w:ascii="Times New Roman" w:hAnsi="Times New Roman" w:cs="Times New Roman"/>
          <w:lang w:val="es-ES"/>
        </w:rPr>
        <w:t>La plataforma se encuentra en</w:t>
      </w:r>
      <w:r w:rsidRPr="00E97784">
        <w:rPr>
          <w:rFonts w:ascii="Times New Roman" w:hAnsi="Times New Roman" w:cs="Times New Roman"/>
          <w:lang w:val="es-ES"/>
        </w:rPr>
        <w:t xml:space="preserve"> </w:t>
      </w:r>
      <w:hyperlink r:id="rId1" w:history="1">
        <w:r w:rsidRPr="00E97784">
          <w:rPr>
            <w:rStyle w:val="Hyperlink"/>
            <w:rFonts w:ascii="Times New Roman" w:hAnsi="Times New Roman" w:cs="Times New Roman"/>
            <w:lang w:val="es-ES"/>
          </w:rPr>
          <w:t>http://ec.europa.eu/odr</w:t>
        </w:r>
      </w:hyperlink>
      <w:r w:rsidRPr="00E97784">
        <w:rPr>
          <w:rFonts w:ascii="Times New Roman" w:hAnsi="Times New Roman" w:cs="Times New Roman"/>
          <w:lang w:val="es-ES"/>
        </w:rPr>
        <w:t>.</w:t>
      </w:r>
    </w:p>
  </w:footnote>
  <w:footnote w:id="40">
    <w:p w14:paraId="3383DFD9" w14:textId="07948DBB" w:rsidR="00120EA9" w:rsidRPr="00D43618" w:rsidRDefault="00120EA9" w:rsidP="001A3684">
      <w:pPr>
        <w:pStyle w:val="FootnoteText"/>
        <w:rPr>
          <w:rFonts w:ascii="Times New Roman" w:hAnsi="Times New Roman" w:cs="Times New Roman"/>
          <w:lang w:val="es-ES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 </w:t>
      </w:r>
      <w:r w:rsidRPr="00D43618">
        <w:rPr>
          <w:rFonts w:ascii="Times New Roman" w:hAnsi="Times New Roman" w:cs="Times New Roman"/>
          <w:lang w:val="es-ES"/>
        </w:rPr>
        <w:t>C. Hodges, ‘</w:t>
      </w:r>
      <w:proofErr w:type="spellStart"/>
      <w:r w:rsidRPr="00D43618">
        <w:rPr>
          <w:rFonts w:ascii="Times New Roman" w:hAnsi="Times New Roman" w:cs="Times New Roman"/>
          <w:lang w:val="es-ES"/>
        </w:rPr>
        <w:t>Consumer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43618">
        <w:rPr>
          <w:rFonts w:ascii="Times New Roman" w:hAnsi="Times New Roman" w:cs="Times New Roman"/>
          <w:lang w:val="es-ES"/>
        </w:rPr>
        <w:t>Ombudsmen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D43618">
        <w:rPr>
          <w:rFonts w:ascii="Times New Roman" w:hAnsi="Times New Roman" w:cs="Times New Roman"/>
          <w:lang w:val="es-ES"/>
        </w:rPr>
        <w:t>Better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43618">
        <w:rPr>
          <w:rFonts w:ascii="Times New Roman" w:hAnsi="Times New Roman" w:cs="Times New Roman"/>
          <w:lang w:val="es-ES"/>
        </w:rPr>
        <w:t>regulation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and dispute </w:t>
      </w:r>
      <w:proofErr w:type="spellStart"/>
      <w:r w:rsidRPr="00D43618">
        <w:rPr>
          <w:rFonts w:ascii="Times New Roman" w:hAnsi="Times New Roman" w:cs="Times New Roman"/>
          <w:lang w:val="es-ES"/>
        </w:rPr>
        <w:t>resolution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’ (2014) 15(4) </w:t>
      </w:r>
      <w:r w:rsidRPr="00D43618">
        <w:rPr>
          <w:rFonts w:ascii="Times New Roman" w:hAnsi="Times New Roman" w:cs="Times New Roman"/>
          <w:i/>
          <w:lang w:val="es-ES"/>
        </w:rPr>
        <w:t>ERA Forum</w:t>
      </w:r>
      <w:r w:rsidRPr="00D43618">
        <w:rPr>
          <w:rFonts w:ascii="Times New Roman" w:hAnsi="Times New Roman" w:cs="Times New Roman"/>
          <w:lang w:val="es-ES"/>
        </w:rPr>
        <w:t xml:space="preserve"> 593; C. Hodges, ‘</w:t>
      </w:r>
      <w:proofErr w:type="spellStart"/>
      <w:r w:rsidRPr="00D43618">
        <w:rPr>
          <w:rFonts w:ascii="Times New Roman" w:hAnsi="Times New Roman" w:cs="Times New Roman"/>
          <w:lang w:val="es-ES"/>
        </w:rPr>
        <w:t>The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43618">
        <w:rPr>
          <w:rFonts w:ascii="Times New Roman" w:hAnsi="Times New Roman" w:cs="Times New Roman"/>
          <w:lang w:val="es-ES"/>
        </w:rPr>
        <w:t>Consumer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as </w:t>
      </w:r>
      <w:proofErr w:type="spellStart"/>
      <w:r w:rsidRPr="00D43618">
        <w:rPr>
          <w:rFonts w:ascii="Times New Roman" w:hAnsi="Times New Roman" w:cs="Times New Roman"/>
          <w:lang w:val="es-ES"/>
        </w:rPr>
        <w:t>Regulator</w:t>
      </w:r>
      <w:proofErr w:type="spellEnd"/>
      <w:r w:rsidRPr="00D43618">
        <w:rPr>
          <w:rFonts w:ascii="Times New Roman" w:hAnsi="Times New Roman" w:cs="Times New Roman"/>
          <w:lang w:val="es-ES"/>
        </w:rPr>
        <w:t>’ en D Leczykiewicz and S Weatherill (</w:t>
      </w:r>
      <w:proofErr w:type="spellStart"/>
      <w:r w:rsidRPr="00D43618">
        <w:rPr>
          <w:rFonts w:ascii="Times New Roman" w:hAnsi="Times New Roman" w:cs="Times New Roman"/>
          <w:lang w:val="es-ES"/>
        </w:rPr>
        <w:t>eds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),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Images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Consumer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 in EU Law: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Legislation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, Free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Movement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 and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Competition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 Law</w:t>
      </w:r>
      <w:r w:rsidRPr="00D43618">
        <w:rPr>
          <w:rFonts w:ascii="Times New Roman" w:hAnsi="Times New Roman" w:cs="Times New Roman"/>
          <w:lang w:val="es-ES"/>
        </w:rPr>
        <w:t xml:space="preserve"> (Oxford, Hart Publishing, 2016).</w:t>
      </w:r>
    </w:p>
  </w:footnote>
  <w:footnote w:id="41">
    <w:p w14:paraId="652F66C4" w14:textId="305ACA78" w:rsidR="00120EA9" w:rsidRPr="00D43618" w:rsidRDefault="00120EA9" w:rsidP="001A3684">
      <w:pPr>
        <w:pStyle w:val="FootnoteText"/>
        <w:rPr>
          <w:rFonts w:ascii="Times New Roman" w:hAnsi="Times New Roman" w:cs="Times New Roman"/>
          <w:lang w:val="es-ES"/>
        </w:rPr>
      </w:pPr>
      <w:r w:rsidRPr="00D43618">
        <w:rPr>
          <w:rStyle w:val="FootnoteReference"/>
          <w:rFonts w:ascii="Times New Roman" w:hAnsi="Times New Roman" w:cs="Times New Roman"/>
          <w:lang w:val="es-ES"/>
        </w:rPr>
        <w:footnoteRef/>
      </w:r>
      <w:r w:rsidRPr="00D43618">
        <w:rPr>
          <w:rFonts w:ascii="Times New Roman" w:hAnsi="Times New Roman" w:cs="Times New Roman"/>
          <w:lang w:val="es-ES"/>
        </w:rPr>
        <w:t xml:space="preserve"> Un ejemplo sería el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Financial</w:t>
      </w:r>
      <w:proofErr w:type="spellEnd"/>
      <w:r w:rsidRPr="00D43618">
        <w:rPr>
          <w:rFonts w:ascii="Times New Roman" w:hAnsi="Times New Roman" w:cs="Times New Roman"/>
          <w:i/>
          <w:lang w:val="es-ES"/>
        </w:rPr>
        <w:t xml:space="preserve"> Ombudsman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Service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del Reino Unido, que se sirve de su posición para conminar a los </w:t>
      </w:r>
      <w:proofErr w:type="spellStart"/>
      <w:r w:rsidR="0051773A">
        <w:rPr>
          <w:rFonts w:ascii="Times New Roman" w:hAnsi="Times New Roman" w:cs="Times New Roman"/>
          <w:lang w:val="es-ES"/>
        </w:rPr>
        <w:t>operadroes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que, en opinión del organismo, utilizan términos contractuales injustos o publicidad engañosa, a </w:t>
      </w:r>
      <w:r w:rsidR="0051773A">
        <w:rPr>
          <w:rFonts w:ascii="Times New Roman" w:hAnsi="Times New Roman" w:cs="Times New Roman"/>
          <w:lang w:val="es-ES"/>
        </w:rPr>
        <w:t>rectificar</w:t>
      </w:r>
      <w:r w:rsidRPr="00D43618">
        <w:rPr>
          <w:rFonts w:ascii="Times New Roman" w:hAnsi="Times New Roman" w:cs="Times New Roman"/>
          <w:lang w:val="es-ES"/>
        </w:rPr>
        <w:t xml:space="preserve"> su conducta para cumplir con la ley. La actuación del FOS es i</w:t>
      </w:r>
      <w:r w:rsidR="0051773A">
        <w:rPr>
          <w:rFonts w:ascii="Times New Roman" w:hAnsi="Times New Roman" w:cs="Times New Roman"/>
          <w:lang w:val="es-ES"/>
        </w:rPr>
        <w:t xml:space="preserve">nmediata, efectiva y económica </w:t>
      </w:r>
      <w:r w:rsidRPr="00D43618">
        <w:rPr>
          <w:rFonts w:ascii="Times New Roman" w:hAnsi="Times New Roman" w:cs="Times New Roman"/>
          <w:lang w:val="es-ES"/>
        </w:rPr>
        <w:t xml:space="preserve">y evita una acción más formal por parte de las autoridades públicas. Esta función de "imposición" distinta de la de las autoridades con esa potestad es idéntica a la del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Wettbeverbszentrale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o el </w:t>
      </w:r>
      <w:proofErr w:type="spellStart"/>
      <w:r w:rsidRPr="00D43618">
        <w:rPr>
          <w:rFonts w:ascii="Times New Roman" w:hAnsi="Times New Roman" w:cs="Times New Roman"/>
          <w:i/>
          <w:lang w:val="es-ES"/>
        </w:rPr>
        <w:t>Verbraucherzentralen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en Alemania.</w:t>
      </w:r>
    </w:p>
  </w:footnote>
  <w:footnote w:id="42">
    <w:p w14:paraId="43EE4349" w14:textId="20819114" w:rsidR="00120EA9" w:rsidRPr="00D43618" w:rsidRDefault="00120EA9">
      <w:pPr>
        <w:pStyle w:val="FootnoteText"/>
        <w:rPr>
          <w:rFonts w:ascii="Times New Roman" w:hAnsi="Times New Roman" w:cs="Times New Roman"/>
          <w:lang w:val="es-ES"/>
        </w:rPr>
      </w:pPr>
      <w:r w:rsidRPr="00D43618">
        <w:rPr>
          <w:rStyle w:val="FootnoteReference"/>
          <w:rFonts w:ascii="Times New Roman" w:hAnsi="Times New Roman" w:cs="Times New Roman"/>
          <w:lang w:val="es-ES"/>
        </w:rPr>
        <w:footnoteRef/>
      </w:r>
      <w:r w:rsidRPr="00D43618">
        <w:rPr>
          <w:rFonts w:ascii="Times New Roman" w:hAnsi="Times New Roman" w:cs="Times New Roman"/>
          <w:lang w:val="es-ES"/>
        </w:rPr>
        <w:t xml:space="preserve"> C Hodges, I </w:t>
      </w:r>
      <w:proofErr w:type="spellStart"/>
      <w:r w:rsidRPr="00D43618">
        <w:rPr>
          <w:rFonts w:ascii="Times New Roman" w:hAnsi="Times New Roman" w:cs="Times New Roman"/>
          <w:lang w:val="es-ES"/>
        </w:rPr>
        <w:t>Benöhr</w:t>
      </w:r>
      <w:proofErr w:type="spellEnd"/>
      <w:r w:rsidRPr="00D43618">
        <w:rPr>
          <w:rFonts w:ascii="Times New Roman" w:hAnsi="Times New Roman" w:cs="Times New Roman"/>
          <w:lang w:val="es-ES"/>
        </w:rPr>
        <w:t xml:space="preserve"> y N Creutzfeldt-Banda, </w:t>
      </w:r>
      <w:proofErr w:type="spellStart"/>
      <w:r w:rsidRPr="00D43618">
        <w:rPr>
          <w:rFonts w:ascii="Times New Roman" w:hAnsi="Times New Roman" w:cs="Times New Roman"/>
          <w:i/>
          <w:iCs/>
          <w:lang w:val="es-ES"/>
        </w:rPr>
        <w:t>Consumer</w:t>
      </w:r>
      <w:proofErr w:type="spellEnd"/>
      <w:r w:rsidRPr="00D43618">
        <w:rPr>
          <w:rFonts w:ascii="Times New Roman" w:hAnsi="Times New Roman" w:cs="Times New Roman"/>
          <w:i/>
          <w:iCs/>
          <w:lang w:val="es-ES"/>
        </w:rPr>
        <w:t xml:space="preserve"> ADR in Europe </w:t>
      </w:r>
      <w:r w:rsidRPr="00D43618">
        <w:rPr>
          <w:rFonts w:ascii="Times New Roman" w:hAnsi="Times New Roman" w:cs="Times New Roman"/>
          <w:lang w:val="es-ES"/>
        </w:rPr>
        <w:t>(Oxford, Hart Publishing, 2012).</w:t>
      </w:r>
    </w:p>
  </w:footnote>
  <w:footnote w:id="43">
    <w:p w14:paraId="2F8E8DBA" w14:textId="6599A652" w:rsidR="00120EA9" w:rsidRPr="0051773A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 w:rsidRPr="0051773A">
        <w:rPr>
          <w:rFonts w:ascii="Times New Roman" w:hAnsi="Times New Roman" w:cs="Times New Roman"/>
          <w:lang w:val="es-ES"/>
        </w:rPr>
        <w:t>Directiva RLC, art. 6.</w:t>
      </w:r>
    </w:p>
  </w:footnote>
  <w:footnote w:id="44">
    <w:p w14:paraId="0ADFDBEF" w14:textId="528E9658" w:rsidR="00120EA9" w:rsidRPr="0051773A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51773A">
        <w:rPr>
          <w:rStyle w:val="FootnoteReference"/>
          <w:rFonts w:ascii="Times New Roman" w:hAnsi="Times New Roman" w:cs="Times New Roman"/>
          <w:lang w:val="es-ES"/>
        </w:rPr>
        <w:footnoteRef/>
      </w:r>
      <w:r w:rsidRPr="0051773A">
        <w:rPr>
          <w:rFonts w:ascii="Times New Roman" w:hAnsi="Times New Roman" w:cs="Times New Roman"/>
          <w:lang w:val="es-ES"/>
        </w:rPr>
        <w:t xml:space="preserve"> Directiva RLC, art. 16.1.</w:t>
      </w:r>
    </w:p>
  </w:footnote>
  <w:footnote w:id="45">
    <w:p w14:paraId="49051E9D" w14:textId="432A7FCA" w:rsidR="00120EA9" w:rsidRPr="0051773A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51773A">
        <w:rPr>
          <w:rStyle w:val="FootnoteReference"/>
          <w:rFonts w:ascii="Times New Roman" w:hAnsi="Times New Roman" w:cs="Times New Roman"/>
          <w:lang w:val="es-ES"/>
        </w:rPr>
        <w:footnoteRef/>
      </w:r>
      <w:r w:rsidRPr="0051773A">
        <w:rPr>
          <w:rFonts w:ascii="Times New Roman" w:hAnsi="Times New Roman" w:cs="Times New Roman"/>
          <w:lang w:val="es-ES"/>
        </w:rPr>
        <w:t xml:space="preserve"> Directiva RLC, arts. 6, 7, 19.</w:t>
      </w:r>
    </w:p>
  </w:footnote>
  <w:footnote w:id="46">
    <w:p w14:paraId="64744F1D" w14:textId="261620A8" w:rsidR="00120EA9" w:rsidRPr="0051773A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51773A">
        <w:rPr>
          <w:rStyle w:val="FootnoteReference"/>
          <w:rFonts w:ascii="Times New Roman" w:hAnsi="Times New Roman" w:cs="Times New Roman"/>
          <w:lang w:val="es-ES"/>
        </w:rPr>
        <w:footnoteRef/>
      </w:r>
      <w:r w:rsidRPr="0051773A">
        <w:rPr>
          <w:rFonts w:ascii="Times New Roman" w:hAnsi="Times New Roman" w:cs="Times New Roman"/>
          <w:lang w:val="es-ES"/>
        </w:rPr>
        <w:t xml:space="preserve"> Directiva RLC, art. 10: un acuerdo de someter una reclamación a la apreciación de una entidad de resolución alternativa no será vinculante para el consumidor cuando se haya celebrado antes de que surgiera el litigio y cuando tenga por efecto privar al consumidor de su derecho a recurrir ante los órganos jurisdiccionales Asimismo el art. 12 establece: cuando el resultado de un procedimiento de resolución alternativa no sea vinculante, los E</w:t>
      </w:r>
      <w:r w:rsidR="0051773A">
        <w:rPr>
          <w:rFonts w:ascii="Times New Roman" w:hAnsi="Times New Roman" w:cs="Times New Roman"/>
          <w:lang w:val="es-ES"/>
        </w:rPr>
        <w:t>s</w:t>
      </w:r>
      <w:r w:rsidRPr="0051773A">
        <w:rPr>
          <w:rFonts w:ascii="Times New Roman" w:hAnsi="Times New Roman" w:cs="Times New Roman"/>
          <w:lang w:val="es-ES"/>
        </w:rPr>
        <w:t xml:space="preserve">tados Miembros garantizarán que los consumidores no se les impida posteriormente entablar acciones judiciales. </w:t>
      </w:r>
    </w:p>
  </w:footnote>
  <w:footnote w:id="47">
    <w:p w14:paraId="5D0C02D2" w14:textId="1AE9FC1F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51773A">
        <w:rPr>
          <w:rStyle w:val="FootnoteReference"/>
          <w:rFonts w:ascii="Times New Roman" w:hAnsi="Times New Roman" w:cs="Times New Roman"/>
          <w:lang w:val="es-ES"/>
        </w:rPr>
        <w:footnoteRef/>
      </w:r>
      <w:r w:rsidRPr="0051773A">
        <w:rPr>
          <w:rFonts w:ascii="Times New Roman" w:hAnsi="Times New Roman" w:cs="Times New Roman"/>
          <w:lang w:val="es-ES"/>
        </w:rPr>
        <w:t xml:space="preserve"> </w:t>
      </w:r>
      <w:r w:rsidR="0051773A">
        <w:rPr>
          <w:rFonts w:ascii="Times New Roman" w:hAnsi="Times New Roman" w:cs="Times New Roman"/>
          <w:lang w:val="es-ES"/>
        </w:rPr>
        <w:t xml:space="preserve">A pesar de que el art. 2.4 de la Directiva RLC </w:t>
      </w:r>
      <w:r w:rsidR="00697ED4">
        <w:rPr>
          <w:rFonts w:ascii="Times New Roman" w:hAnsi="Times New Roman" w:cs="Times New Roman"/>
          <w:lang w:val="es-ES"/>
        </w:rPr>
        <w:t xml:space="preserve">autoriza a los Estados Miembros que permitan los mediadores internos en las empresas, ello resulta inaceptable en casi todos ellos. Además, esa facultad debería ejercitarse con moderación. </w:t>
      </w:r>
    </w:p>
  </w:footnote>
  <w:footnote w:id="48">
    <w:p w14:paraId="30D512B9" w14:textId="5DD064A4" w:rsidR="00120EA9" w:rsidRPr="00697ED4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 w:rsidRPr="00697ED4">
        <w:rPr>
          <w:rFonts w:ascii="Times New Roman" w:hAnsi="Times New Roman" w:cs="Times New Roman"/>
          <w:lang w:val="es-ES"/>
        </w:rPr>
        <w:t>El art. 5.2(f) de la Directiva RLC señala que el tratamiento de datos personales por parte de entidades de RLC deberá cumplir con la legislación nacional de aplicación de la Directiva 95/46/CE.</w:t>
      </w:r>
    </w:p>
  </w:footnote>
  <w:footnote w:id="49">
    <w:p w14:paraId="793C1447" w14:textId="1E5F5BF2" w:rsidR="00120EA9" w:rsidRPr="00697ED4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697ED4">
        <w:rPr>
          <w:rStyle w:val="FootnoteReference"/>
          <w:rFonts w:ascii="Times New Roman" w:hAnsi="Times New Roman" w:cs="Times New Roman"/>
          <w:lang w:val="es-ES"/>
        </w:rPr>
        <w:footnoteRef/>
      </w:r>
      <w:r w:rsidRPr="00697ED4">
        <w:rPr>
          <w:rFonts w:ascii="Times New Roman" w:hAnsi="Times New Roman" w:cs="Times New Roman"/>
          <w:lang w:val="es-ES"/>
        </w:rPr>
        <w:t xml:space="preserve"> Directiva sobre RAL en materia de consumo, art. 17.</w:t>
      </w:r>
    </w:p>
  </w:footnote>
  <w:footnote w:id="50">
    <w:p w14:paraId="10E2D62A" w14:textId="13C92F59" w:rsidR="00120EA9" w:rsidRPr="00697ED4" w:rsidRDefault="00120EA9" w:rsidP="005A422F">
      <w:pPr>
        <w:pStyle w:val="FootnoteText"/>
        <w:rPr>
          <w:rFonts w:ascii="Times New Roman" w:hAnsi="Times New Roman" w:cs="Times New Roman"/>
          <w:lang w:val="es-ES"/>
        </w:rPr>
      </w:pPr>
      <w:r w:rsidRPr="00697ED4">
        <w:rPr>
          <w:rStyle w:val="FootnoteReference"/>
          <w:rFonts w:ascii="Times New Roman" w:hAnsi="Times New Roman" w:cs="Times New Roman"/>
          <w:lang w:val="es-ES"/>
        </w:rPr>
        <w:footnoteRef/>
      </w:r>
      <w:r w:rsidRPr="00697ED4">
        <w:rPr>
          <w:rFonts w:ascii="Times New Roman" w:hAnsi="Times New Roman" w:cs="Times New Roman"/>
          <w:lang w:val="es-ES"/>
        </w:rPr>
        <w:t xml:space="preserve"> Directiva sobre RAL en materia de consumo, art. 8(b) y (c). </w:t>
      </w:r>
      <w:r w:rsidR="00BF37A1">
        <w:rPr>
          <w:rFonts w:ascii="Times New Roman" w:hAnsi="Times New Roman" w:cs="Times New Roman"/>
          <w:lang w:val="es-ES"/>
        </w:rPr>
        <w:t xml:space="preserve">esta previsión debería incluirse en el Reglamento RAL: </w:t>
      </w:r>
      <w:r w:rsidRPr="00697ED4">
        <w:rPr>
          <w:rFonts w:ascii="Times New Roman" w:hAnsi="Times New Roman" w:cs="Times New Roman"/>
          <w:lang w:val="es-ES"/>
        </w:rPr>
        <w:t xml:space="preserve">J. </w:t>
      </w:r>
      <w:proofErr w:type="spellStart"/>
      <w:r w:rsidRPr="00697ED4">
        <w:rPr>
          <w:rFonts w:ascii="Times New Roman" w:hAnsi="Times New Roman" w:cs="Times New Roman"/>
          <w:lang w:val="es-ES"/>
        </w:rPr>
        <w:t>Hoernle</w:t>
      </w:r>
      <w:proofErr w:type="spellEnd"/>
      <w:r w:rsidRPr="00697ED4">
        <w:rPr>
          <w:rFonts w:ascii="Times New Roman" w:hAnsi="Times New Roman" w:cs="Times New Roman"/>
          <w:lang w:val="es-ES"/>
        </w:rPr>
        <w:t>, ‘</w:t>
      </w:r>
      <w:proofErr w:type="spellStart"/>
      <w:r w:rsidRPr="00697ED4">
        <w:rPr>
          <w:rFonts w:ascii="Times New Roman" w:hAnsi="Times New Roman" w:cs="Times New Roman"/>
          <w:lang w:val="es-ES"/>
        </w:rPr>
        <w:t>Encouraging</w:t>
      </w:r>
      <w:proofErr w:type="spellEnd"/>
      <w:r w:rsidRPr="00697ED4">
        <w:rPr>
          <w:rFonts w:ascii="Times New Roman" w:hAnsi="Times New Roman" w:cs="Times New Roman"/>
          <w:lang w:val="es-ES"/>
        </w:rPr>
        <w:t xml:space="preserve"> online </w:t>
      </w:r>
      <w:proofErr w:type="spellStart"/>
      <w:r w:rsidRPr="00697ED4">
        <w:rPr>
          <w:rFonts w:ascii="Times New Roman" w:hAnsi="Times New Roman" w:cs="Times New Roman"/>
          <w:lang w:val="es-ES"/>
        </w:rPr>
        <w:t>alternative</w:t>
      </w:r>
      <w:proofErr w:type="spellEnd"/>
      <w:r w:rsidRPr="00697ED4">
        <w:rPr>
          <w:rFonts w:ascii="Times New Roman" w:hAnsi="Times New Roman" w:cs="Times New Roman"/>
          <w:lang w:val="es-ES"/>
        </w:rPr>
        <w:t xml:space="preserve"> dispute </w:t>
      </w:r>
      <w:proofErr w:type="spellStart"/>
      <w:r w:rsidRPr="00697ED4">
        <w:rPr>
          <w:rFonts w:ascii="Times New Roman" w:hAnsi="Times New Roman" w:cs="Times New Roman"/>
          <w:lang w:val="es-ES"/>
        </w:rPr>
        <w:t>resolution</w:t>
      </w:r>
      <w:proofErr w:type="spellEnd"/>
      <w:r w:rsidRPr="00697ED4">
        <w:rPr>
          <w:rFonts w:ascii="Times New Roman" w:hAnsi="Times New Roman" w:cs="Times New Roman"/>
          <w:lang w:val="es-ES"/>
        </w:rPr>
        <w:t xml:space="preserve"> (ADR) in </w:t>
      </w:r>
      <w:proofErr w:type="spellStart"/>
      <w:r w:rsidRPr="00697ED4">
        <w:rPr>
          <w:rFonts w:ascii="Times New Roman" w:hAnsi="Times New Roman" w:cs="Times New Roman"/>
          <w:lang w:val="es-ES"/>
        </w:rPr>
        <w:t>the</w:t>
      </w:r>
      <w:proofErr w:type="spellEnd"/>
      <w:r w:rsidRPr="00697ED4">
        <w:rPr>
          <w:rFonts w:ascii="Times New Roman" w:hAnsi="Times New Roman" w:cs="Times New Roman"/>
          <w:lang w:val="es-ES"/>
        </w:rPr>
        <w:t xml:space="preserve"> EU and </w:t>
      </w:r>
      <w:proofErr w:type="spellStart"/>
      <w:r w:rsidRPr="00697ED4">
        <w:rPr>
          <w:rFonts w:ascii="Times New Roman" w:hAnsi="Times New Roman" w:cs="Times New Roman"/>
          <w:lang w:val="es-ES"/>
        </w:rPr>
        <w:t>beyond</w:t>
      </w:r>
      <w:proofErr w:type="spellEnd"/>
      <w:r w:rsidRPr="00697ED4">
        <w:rPr>
          <w:rFonts w:ascii="Times New Roman" w:hAnsi="Times New Roman" w:cs="Times New Roman"/>
          <w:lang w:val="es-ES"/>
        </w:rPr>
        <w:t xml:space="preserve">’, </w:t>
      </w:r>
      <w:r w:rsidRPr="00697ED4">
        <w:rPr>
          <w:rFonts w:ascii="Times New Roman" w:hAnsi="Times New Roman" w:cs="Times New Roman"/>
          <w:i/>
          <w:lang w:val="es-ES"/>
        </w:rPr>
        <w:t xml:space="preserve">European Law </w:t>
      </w:r>
      <w:proofErr w:type="spellStart"/>
      <w:r w:rsidRPr="00697ED4">
        <w:rPr>
          <w:rFonts w:ascii="Times New Roman" w:hAnsi="Times New Roman" w:cs="Times New Roman"/>
          <w:i/>
          <w:lang w:val="es-ES"/>
        </w:rPr>
        <w:t>Review</w:t>
      </w:r>
      <w:proofErr w:type="spellEnd"/>
      <w:r w:rsidRPr="00697ED4">
        <w:rPr>
          <w:rFonts w:ascii="Times New Roman" w:hAnsi="Times New Roman" w:cs="Times New Roman"/>
          <w:lang w:val="es-ES"/>
        </w:rPr>
        <w:t>, 38/2 (2013), 187-208.</w:t>
      </w:r>
    </w:p>
  </w:footnote>
  <w:footnote w:id="51">
    <w:p w14:paraId="693ED229" w14:textId="4D65800D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697ED4">
        <w:rPr>
          <w:rStyle w:val="FootnoteReference"/>
          <w:rFonts w:ascii="Times New Roman" w:hAnsi="Times New Roman" w:cs="Times New Roman"/>
          <w:lang w:val="es-ES"/>
        </w:rPr>
        <w:footnoteRef/>
      </w:r>
      <w:r w:rsidRPr="00697ED4">
        <w:rPr>
          <w:rFonts w:ascii="Times New Roman" w:hAnsi="Times New Roman" w:cs="Times New Roman"/>
          <w:lang w:val="es-ES"/>
        </w:rPr>
        <w:t xml:space="preserve"> Directiva sobre RAL en materia de consumo, art. 17.</w:t>
      </w:r>
    </w:p>
  </w:footnote>
  <w:footnote w:id="52">
    <w:p w14:paraId="2A1164FC" w14:textId="67517AFA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Directiva</w:t>
      </w:r>
      <w:proofErr w:type="spellEnd"/>
      <w:r>
        <w:rPr>
          <w:rFonts w:ascii="Times New Roman" w:hAnsi="Times New Roman" w:cs="Times New Roman"/>
        </w:rPr>
        <w:t xml:space="preserve"> RLC</w:t>
      </w:r>
      <w:r w:rsidRPr="00134C37">
        <w:rPr>
          <w:rFonts w:ascii="Times New Roman" w:hAnsi="Times New Roman" w:cs="Times New Roman"/>
        </w:rPr>
        <w:t>, art</w:t>
      </w:r>
      <w:r>
        <w:rPr>
          <w:rFonts w:ascii="Times New Roman" w:hAnsi="Times New Roman" w:cs="Times New Roman"/>
        </w:rPr>
        <w:t>.</w:t>
      </w:r>
      <w:r w:rsidRPr="00134C37">
        <w:rPr>
          <w:rFonts w:ascii="Times New Roman" w:hAnsi="Times New Roman" w:cs="Times New Roman"/>
        </w:rPr>
        <w:t xml:space="preserve"> 8(c).</w:t>
      </w:r>
    </w:p>
  </w:footnote>
  <w:footnote w:id="53">
    <w:p w14:paraId="785BD536" w14:textId="0006D3E1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proofErr w:type="spellStart"/>
      <w:r>
        <w:rPr>
          <w:rFonts w:ascii="Times New Roman" w:hAnsi="Times New Roman" w:cs="Times New Roman"/>
        </w:rPr>
        <w:t>sucede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sistema</w:t>
      </w:r>
      <w:proofErr w:type="spellEnd"/>
      <w:r>
        <w:rPr>
          <w:rFonts w:ascii="Times New Roman" w:hAnsi="Times New Roman" w:cs="Times New Roman"/>
        </w:rPr>
        <w:t xml:space="preserve"> de</w:t>
      </w:r>
      <w:r w:rsidRPr="00134C37">
        <w:rPr>
          <w:rFonts w:ascii="Times New Roman" w:hAnsi="Times New Roman" w:cs="Times New Roman"/>
        </w:rPr>
        <w:t xml:space="preserve"> </w:t>
      </w:r>
      <w:proofErr w:type="spellStart"/>
      <w:r w:rsidRPr="002611D5">
        <w:rPr>
          <w:rFonts w:ascii="Times New Roman" w:hAnsi="Times New Roman" w:cs="Times New Roman"/>
          <w:i/>
        </w:rPr>
        <w:t>geschillencommissie</w:t>
      </w:r>
      <w:proofErr w:type="spellEnd"/>
      <w:r w:rsidRPr="002611D5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Holanda</w:t>
      </w:r>
      <w:proofErr w:type="spellEnd"/>
      <w:r w:rsidRPr="00134C37">
        <w:rPr>
          <w:rFonts w:ascii="Times New Roman" w:hAnsi="Times New Roman" w:cs="Times New Roman"/>
        </w:rPr>
        <w:t>.</w:t>
      </w:r>
    </w:p>
  </w:footnote>
  <w:footnote w:id="54">
    <w:p w14:paraId="760F6543" w14:textId="37C35B13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proofErr w:type="spellStart"/>
      <w:r>
        <w:rPr>
          <w:rFonts w:ascii="Times New Roman" w:hAnsi="Times New Roman" w:cs="Times New Roman"/>
        </w:rPr>
        <w:t>establece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legislación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británica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relación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varios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ombudsmen</w:t>
      </w:r>
      <w:r>
        <w:rPr>
          <w:rFonts w:ascii="Times New Roman" w:hAnsi="Times New Roman" w:cs="Times New Roman"/>
        </w:rPr>
        <w:t>.</w:t>
      </w:r>
      <w:r w:rsidRPr="00134C37">
        <w:rPr>
          <w:rFonts w:ascii="Times New Roman" w:hAnsi="Times New Roman" w:cs="Times New Roman"/>
        </w:rPr>
        <w:t xml:space="preserve"> </w:t>
      </w:r>
    </w:p>
  </w:footnote>
  <w:footnote w:id="55">
    <w:p w14:paraId="47ACA3DD" w14:textId="78E6045E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 w:rsidR="00BF37A1" w:rsidRPr="00A82CF1">
        <w:rPr>
          <w:rFonts w:ascii="Times New Roman" w:hAnsi="Times New Roman" w:cs="Times New Roman"/>
          <w:lang w:val="es-ES"/>
        </w:rPr>
        <w:t>Los posibles planteamientos podrían</w:t>
      </w:r>
      <w:r w:rsidR="00A82CF1" w:rsidRPr="00A82CF1">
        <w:rPr>
          <w:rFonts w:ascii="Times New Roman" w:hAnsi="Times New Roman" w:cs="Times New Roman"/>
          <w:lang w:val="es-ES"/>
        </w:rPr>
        <w:t xml:space="preserve"> basarse en sistemas inquisitivos de indemnización </w:t>
      </w:r>
      <w:r w:rsidR="00F2000E">
        <w:rPr>
          <w:rFonts w:ascii="Times New Roman" w:hAnsi="Times New Roman" w:cs="Times New Roman"/>
          <w:lang w:val="es-ES"/>
        </w:rPr>
        <w:t>por</w:t>
      </w:r>
      <w:r w:rsidR="00A82CF1" w:rsidRPr="00A82CF1">
        <w:rPr>
          <w:rFonts w:ascii="Times New Roman" w:hAnsi="Times New Roman" w:cs="Times New Roman"/>
          <w:lang w:val="es-ES"/>
        </w:rPr>
        <w:t xml:space="preserve"> </w:t>
      </w:r>
      <w:r w:rsidR="00F2000E">
        <w:rPr>
          <w:rFonts w:ascii="Times New Roman" w:hAnsi="Times New Roman" w:cs="Times New Roman"/>
          <w:lang w:val="es-ES"/>
        </w:rPr>
        <w:t>daños</w:t>
      </w:r>
      <w:r w:rsidR="00A82CF1" w:rsidRPr="00A82CF1">
        <w:rPr>
          <w:rFonts w:ascii="Times New Roman" w:hAnsi="Times New Roman" w:cs="Times New Roman"/>
          <w:lang w:val="es-ES"/>
        </w:rPr>
        <w:t xml:space="preserve"> mé</w:t>
      </w:r>
      <w:r w:rsidR="00F2000E">
        <w:rPr>
          <w:rFonts w:ascii="Times New Roman" w:hAnsi="Times New Roman" w:cs="Times New Roman"/>
          <w:lang w:val="es-ES"/>
        </w:rPr>
        <w:t>dico</w:t>
      </w:r>
      <w:r w:rsidR="00A82CF1" w:rsidRPr="00A82CF1">
        <w:rPr>
          <w:rFonts w:ascii="Times New Roman" w:hAnsi="Times New Roman" w:cs="Times New Roman"/>
          <w:lang w:val="es-ES"/>
        </w:rPr>
        <w:t xml:space="preserve">s y de tráfico y el sistema francés </w:t>
      </w:r>
      <w:r w:rsidRPr="00A82CF1">
        <w:rPr>
          <w:rFonts w:ascii="Times New Roman" w:hAnsi="Times New Roman" w:cs="Times New Roman"/>
          <w:lang w:val="es-ES"/>
        </w:rPr>
        <w:t>ONIAM.</w:t>
      </w:r>
    </w:p>
  </w:footnote>
  <w:footnote w:id="56">
    <w:p w14:paraId="45173E1C" w14:textId="2BE550D7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TEDH</w:t>
      </w:r>
      <w:r w:rsidRPr="00134C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art.</w:t>
      </w:r>
      <w:r w:rsidRPr="00134C37">
        <w:rPr>
          <w:rFonts w:ascii="Times New Roman" w:hAnsi="Times New Roman" w:cs="Times New Roman"/>
        </w:rPr>
        <w:t xml:space="preserve"> 6; EUCFR, </w:t>
      </w:r>
      <w:r>
        <w:rPr>
          <w:rFonts w:ascii="Times New Roman" w:hAnsi="Times New Roman" w:cs="Times New Roman"/>
        </w:rPr>
        <w:t>art.</w:t>
      </w:r>
      <w:r w:rsidRPr="00134C37">
        <w:rPr>
          <w:rFonts w:ascii="Times New Roman" w:hAnsi="Times New Roman" w:cs="Times New Roman"/>
        </w:rPr>
        <w:t xml:space="preserve"> 47.</w:t>
      </w:r>
    </w:p>
  </w:footnote>
  <w:footnote w:id="57">
    <w:p w14:paraId="27B6966F" w14:textId="023AA586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Directiva</w:t>
      </w:r>
      <w:proofErr w:type="spellEnd"/>
      <w:r>
        <w:rPr>
          <w:rFonts w:ascii="Times New Roman" w:hAnsi="Times New Roman" w:cs="Times New Roman"/>
        </w:rPr>
        <w:t xml:space="preserve"> CDR</w:t>
      </w:r>
      <w:r w:rsidRPr="00134C37">
        <w:rPr>
          <w:rFonts w:ascii="Times New Roman" w:hAnsi="Times New Roman" w:cs="Times New Roman"/>
        </w:rPr>
        <w:t>, arts</w:t>
      </w:r>
      <w:r>
        <w:rPr>
          <w:rFonts w:ascii="Times New Roman" w:hAnsi="Times New Roman" w:cs="Times New Roman"/>
        </w:rPr>
        <w:t>.</w:t>
      </w:r>
      <w:r w:rsidRPr="00134C37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y</w:t>
      </w:r>
      <w:r w:rsidRPr="00134C37">
        <w:rPr>
          <w:rFonts w:ascii="Times New Roman" w:hAnsi="Times New Roman" w:cs="Times New Roman"/>
        </w:rPr>
        <w:t xml:space="preserve"> 12.</w:t>
      </w:r>
    </w:p>
  </w:footnote>
  <w:footnote w:id="58">
    <w:p w14:paraId="4F5E0D28" w14:textId="6C0F2F35" w:rsidR="00120EA9" w:rsidRPr="00F54F9C" w:rsidRDefault="00120EA9" w:rsidP="00430DEA">
      <w:pPr>
        <w:pStyle w:val="FootnoteText"/>
        <w:rPr>
          <w:rFonts w:ascii="Times New Roman" w:hAnsi="Times New Roman" w:cs="Times New Roman"/>
        </w:rPr>
      </w:pPr>
      <w:r w:rsidRPr="00F54F9C">
        <w:rPr>
          <w:rStyle w:val="FootnoteReference"/>
          <w:rFonts w:ascii="Times New Roman" w:hAnsi="Times New Roman" w:cs="Times New Roman"/>
        </w:rPr>
        <w:footnoteRef/>
      </w:r>
      <w:r w:rsidRPr="00F54F9C">
        <w:rPr>
          <w:rFonts w:ascii="Times New Roman" w:hAnsi="Times New Roman" w:cs="Times New Roman"/>
        </w:rPr>
        <w:t xml:space="preserve"> </w:t>
      </w:r>
      <w:proofErr w:type="gramStart"/>
      <w:r w:rsidRPr="00430DEA">
        <w:rPr>
          <w:rFonts w:ascii="Times New Roman" w:hAnsi="Times New Roman" w:cs="Times New Roman"/>
          <w:i/>
        </w:rPr>
        <w:t>AT&amp;T Mobility v. Conception</w:t>
      </w:r>
      <w:r w:rsidRPr="00430DEA">
        <w:rPr>
          <w:rFonts w:ascii="Times New Roman" w:hAnsi="Times New Roman" w:cs="Times New Roman"/>
        </w:rPr>
        <w:t>, 131</w:t>
      </w:r>
      <w:r w:rsidRPr="00430DEA">
        <w:rPr>
          <w:rFonts w:ascii="Times New Roman" w:hAnsi="Times New Roman" w:cs="Times New Roman"/>
          <w:i/>
        </w:rPr>
        <w:t xml:space="preserve"> </w:t>
      </w:r>
      <w:r w:rsidRPr="00430DEA">
        <w:rPr>
          <w:rFonts w:ascii="Times New Roman" w:hAnsi="Times New Roman" w:cs="Times New Roman"/>
        </w:rPr>
        <w:t>S. Ct. 1740 (2011)</w:t>
      </w:r>
      <w:r>
        <w:rPr>
          <w:rFonts w:ascii="Times New Roman" w:hAnsi="Times New Roman" w:cs="Times New Roman"/>
        </w:rPr>
        <w:t xml:space="preserve">; </w:t>
      </w:r>
      <w:r w:rsidRPr="00430DEA">
        <w:rPr>
          <w:rFonts w:ascii="Times New Roman" w:hAnsi="Times New Roman" w:cs="Times New Roman"/>
          <w:i/>
        </w:rPr>
        <w:t xml:space="preserve">American Express Co. v. Italian </w:t>
      </w:r>
      <w:proofErr w:type="spellStart"/>
      <w:r w:rsidRPr="00430DEA">
        <w:rPr>
          <w:rFonts w:ascii="Times New Roman" w:hAnsi="Times New Roman" w:cs="Times New Roman"/>
          <w:i/>
        </w:rPr>
        <w:t>Colors</w:t>
      </w:r>
      <w:proofErr w:type="spellEnd"/>
      <w:r w:rsidRPr="00430DEA">
        <w:rPr>
          <w:rFonts w:ascii="Times New Roman" w:hAnsi="Times New Roman" w:cs="Times New Roman"/>
          <w:i/>
        </w:rPr>
        <w:t xml:space="preserve"> Restaurant</w:t>
      </w:r>
      <w:r w:rsidRPr="00430DEA">
        <w:rPr>
          <w:rFonts w:ascii="Times New Roman" w:hAnsi="Times New Roman" w:cs="Times New Roman"/>
        </w:rPr>
        <w:t>, 133 S. Ct. 2304 (2013).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Véase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0DEA">
        <w:rPr>
          <w:rFonts w:ascii="Times New Roman" w:hAnsi="Times New Roman" w:cs="Times New Roman"/>
          <w:lang w:val="en-US"/>
        </w:rPr>
        <w:t>BT Fitzpatrick, ‘The End of Class Actions?’ (2015</w:t>
      </w:r>
      <w:r>
        <w:rPr>
          <w:rFonts w:ascii="Times New Roman" w:hAnsi="Times New Roman" w:cs="Times New Roman"/>
          <w:lang w:val="en-US"/>
        </w:rPr>
        <w:t>)</w:t>
      </w:r>
      <w:r w:rsidRPr="00430DEA">
        <w:rPr>
          <w:rFonts w:ascii="Times New Roman" w:hAnsi="Times New Roman" w:cs="Times New Roman"/>
          <w:lang w:val="en-US"/>
        </w:rPr>
        <w:t xml:space="preserve"> 75(1) </w:t>
      </w:r>
      <w:r w:rsidRPr="00430DEA">
        <w:rPr>
          <w:rFonts w:ascii="Times New Roman" w:hAnsi="Times New Roman" w:cs="Times New Roman"/>
          <w:i/>
          <w:lang w:val="en-US"/>
        </w:rPr>
        <w:t>Arizona Law Review</w:t>
      </w:r>
      <w:r w:rsidRPr="00430DEA">
        <w:rPr>
          <w:rFonts w:ascii="Times New Roman" w:hAnsi="Times New Roman" w:cs="Times New Roman"/>
          <w:lang w:val="en-US"/>
        </w:rPr>
        <w:t xml:space="preserve"> 161</w:t>
      </w:r>
      <w:r>
        <w:rPr>
          <w:rFonts w:ascii="Times New Roman" w:hAnsi="Times New Roman" w:cs="Times New Roman"/>
          <w:lang w:val="en-US"/>
        </w:rPr>
        <w:t xml:space="preserve">; </w:t>
      </w:r>
      <w:r w:rsidRPr="00430DEA">
        <w:rPr>
          <w:rFonts w:ascii="Times New Roman" w:hAnsi="Times New Roman" w:cs="Times New Roman"/>
        </w:rPr>
        <w:t xml:space="preserve">LS </w:t>
      </w:r>
      <w:proofErr w:type="spellStart"/>
      <w:r w:rsidRPr="00430DEA">
        <w:rPr>
          <w:rFonts w:ascii="Times New Roman" w:hAnsi="Times New Roman" w:cs="Times New Roman"/>
        </w:rPr>
        <w:t>Mullenix</w:t>
      </w:r>
      <w:proofErr w:type="spellEnd"/>
      <w:r w:rsidRPr="00430DEA">
        <w:rPr>
          <w:rFonts w:ascii="Times New Roman" w:hAnsi="Times New Roman" w:cs="Times New Roman"/>
        </w:rPr>
        <w:t xml:space="preserve">, ‘Ending Class Actions as We Know Them: Rethinking the American Class Action’ (2014) 64 </w:t>
      </w:r>
      <w:r w:rsidRPr="00430DEA">
        <w:rPr>
          <w:rFonts w:ascii="Times New Roman" w:hAnsi="Times New Roman" w:cs="Times New Roman"/>
          <w:i/>
        </w:rPr>
        <w:t>Emory Law Journal</w:t>
      </w:r>
      <w:r w:rsidRPr="00430DEA">
        <w:rPr>
          <w:rFonts w:ascii="Times New Roman" w:hAnsi="Times New Roman" w:cs="Times New Roman"/>
        </w:rPr>
        <w:t xml:space="preserve"> 399.</w:t>
      </w:r>
    </w:p>
  </w:footnote>
  <w:footnote w:id="59">
    <w:p w14:paraId="22B5E722" w14:textId="77777777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</w:t>
      </w:r>
      <w:proofErr w:type="gramStart"/>
      <w:r w:rsidRPr="00134C37">
        <w:rPr>
          <w:rFonts w:ascii="Times New Roman" w:hAnsi="Times New Roman" w:cs="Times New Roman"/>
          <w:i/>
        </w:rPr>
        <w:t xml:space="preserve">Heather Moor &amp; </w:t>
      </w:r>
      <w:proofErr w:type="spellStart"/>
      <w:r w:rsidRPr="00134C37">
        <w:rPr>
          <w:rFonts w:ascii="Times New Roman" w:hAnsi="Times New Roman" w:cs="Times New Roman"/>
          <w:i/>
        </w:rPr>
        <w:t>Edgecomb</w:t>
      </w:r>
      <w:proofErr w:type="spellEnd"/>
      <w:r w:rsidRPr="00134C37">
        <w:rPr>
          <w:rFonts w:ascii="Times New Roman" w:hAnsi="Times New Roman" w:cs="Times New Roman"/>
          <w:i/>
        </w:rPr>
        <w:t xml:space="preserve"> Ltd v United Kingdom</w:t>
      </w:r>
      <w:r w:rsidRPr="00134C37">
        <w:rPr>
          <w:rFonts w:ascii="Times New Roman" w:hAnsi="Times New Roman" w:cs="Times New Roman"/>
        </w:rPr>
        <w:t xml:space="preserve"> 1550/09 [2011] ECHR 1019.</w:t>
      </w:r>
      <w:proofErr w:type="gramEnd"/>
    </w:p>
  </w:footnote>
  <w:footnote w:id="60">
    <w:p w14:paraId="3770CFC7" w14:textId="77777777" w:rsidR="00120EA9" w:rsidRPr="00134C37" w:rsidRDefault="00120EA9" w:rsidP="005A422F">
      <w:pPr>
        <w:pStyle w:val="FootnoteText"/>
        <w:rPr>
          <w:rFonts w:ascii="Times New Roman" w:hAnsi="Times New Roman" w:cs="Times New Roman"/>
        </w:rPr>
      </w:pPr>
      <w:r w:rsidRPr="00134C37">
        <w:rPr>
          <w:rStyle w:val="FootnoteReference"/>
          <w:rFonts w:ascii="Times New Roman" w:hAnsi="Times New Roman" w:cs="Times New Roman"/>
        </w:rPr>
        <w:footnoteRef/>
      </w:r>
      <w:r w:rsidRPr="00134C37">
        <w:rPr>
          <w:rFonts w:ascii="Times New Roman" w:hAnsi="Times New Roman" w:cs="Times New Roman"/>
        </w:rPr>
        <w:t xml:space="preserve"> R. A. </w:t>
      </w:r>
      <w:proofErr w:type="spellStart"/>
      <w:r w:rsidRPr="00134C37">
        <w:rPr>
          <w:rFonts w:ascii="Times New Roman" w:hAnsi="Times New Roman" w:cs="Times New Roman"/>
        </w:rPr>
        <w:t>Kagan</w:t>
      </w:r>
      <w:proofErr w:type="spellEnd"/>
      <w:r w:rsidRPr="00134C37">
        <w:rPr>
          <w:rFonts w:ascii="Times New Roman" w:hAnsi="Times New Roman" w:cs="Times New Roman"/>
        </w:rPr>
        <w:t xml:space="preserve">, </w:t>
      </w:r>
      <w:r w:rsidRPr="00134C37">
        <w:rPr>
          <w:rFonts w:ascii="Times New Roman" w:hAnsi="Times New Roman" w:cs="Times New Roman"/>
          <w:i/>
          <w:iCs/>
        </w:rPr>
        <w:t>Adversarial Legalism</w:t>
      </w:r>
      <w:r w:rsidRPr="00134C37">
        <w:rPr>
          <w:rFonts w:ascii="Times New Roman" w:hAnsi="Times New Roman" w:cs="Times New Roman"/>
        </w:rPr>
        <w:t>. Cambridge, MA: Harvard University Press, 2001.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D42D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81C16"/>
    <w:multiLevelType w:val="hybridMultilevel"/>
    <w:tmpl w:val="8CD69052"/>
    <w:lvl w:ilvl="0" w:tplc="9A58C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45319D7"/>
    <w:multiLevelType w:val="hybridMultilevel"/>
    <w:tmpl w:val="09E29C06"/>
    <w:lvl w:ilvl="0" w:tplc="9A58C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6F46066"/>
    <w:multiLevelType w:val="hybridMultilevel"/>
    <w:tmpl w:val="C9B4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AAD"/>
    <w:multiLevelType w:val="hybridMultilevel"/>
    <w:tmpl w:val="635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04F6"/>
    <w:multiLevelType w:val="hybridMultilevel"/>
    <w:tmpl w:val="FFF0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61E81"/>
    <w:multiLevelType w:val="hybridMultilevel"/>
    <w:tmpl w:val="C27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0343"/>
    <w:multiLevelType w:val="hybridMultilevel"/>
    <w:tmpl w:val="AAEEE116"/>
    <w:lvl w:ilvl="0" w:tplc="B5F63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B455E"/>
    <w:multiLevelType w:val="hybridMultilevel"/>
    <w:tmpl w:val="F57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638C"/>
    <w:multiLevelType w:val="hybridMultilevel"/>
    <w:tmpl w:val="86DE5752"/>
    <w:lvl w:ilvl="0" w:tplc="34F644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C3D77"/>
    <w:multiLevelType w:val="hybridMultilevel"/>
    <w:tmpl w:val="4342A1F8"/>
    <w:lvl w:ilvl="0" w:tplc="66924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C667E"/>
    <w:multiLevelType w:val="hybridMultilevel"/>
    <w:tmpl w:val="8B00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7918"/>
    <w:multiLevelType w:val="hybridMultilevel"/>
    <w:tmpl w:val="8A8804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874191"/>
    <w:multiLevelType w:val="hybridMultilevel"/>
    <w:tmpl w:val="45901516"/>
    <w:lvl w:ilvl="0" w:tplc="35F8F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8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A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05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2D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CA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A6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ED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86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F421E"/>
    <w:multiLevelType w:val="hybridMultilevel"/>
    <w:tmpl w:val="A07C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6C7"/>
    <w:multiLevelType w:val="hybridMultilevel"/>
    <w:tmpl w:val="4D620B2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EF1C70"/>
    <w:multiLevelType w:val="hybridMultilevel"/>
    <w:tmpl w:val="3C805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3CBB"/>
    <w:multiLevelType w:val="hybridMultilevel"/>
    <w:tmpl w:val="BB88D1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410B"/>
    <w:multiLevelType w:val="hybridMultilevel"/>
    <w:tmpl w:val="5E185C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80C06"/>
    <w:multiLevelType w:val="hybridMultilevel"/>
    <w:tmpl w:val="513822A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0578E6"/>
    <w:multiLevelType w:val="hybridMultilevel"/>
    <w:tmpl w:val="B0DEA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871A8"/>
    <w:multiLevelType w:val="hybridMultilevel"/>
    <w:tmpl w:val="E856B7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3649F"/>
    <w:multiLevelType w:val="hybridMultilevel"/>
    <w:tmpl w:val="C244378A"/>
    <w:lvl w:ilvl="0" w:tplc="F59CEF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05A20"/>
    <w:multiLevelType w:val="hybridMultilevel"/>
    <w:tmpl w:val="8A8804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8665B05"/>
    <w:multiLevelType w:val="hybridMultilevel"/>
    <w:tmpl w:val="503E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6219B9"/>
    <w:multiLevelType w:val="hybridMultilevel"/>
    <w:tmpl w:val="169EF0E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897545"/>
    <w:multiLevelType w:val="hybridMultilevel"/>
    <w:tmpl w:val="4282D6C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3"/>
  </w:num>
  <w:num w:numId="5">
    <w:abstractNumId w:val="9"/>
  </w:num>
  <w:num w:numId="6">
    <w:abstractNumId w:val="18"/>
  </w:num>
  <w:num w:numId="7">
    <w:abstractNumId w:val="25"/>
  </w:num>
  <w:num w:numId="8">
    <w:abstractNumId w:val="15"/>
  </w:num>
  <w:num w:numId="9">
    <w:abstractNumId w:val="24"/>
  </w:num>
  <w:num w:numId="10">
    <w:abstractNumId w:val="20"/>
  </w:num>
  <w:num w:numId="11">
    <w:abstractNumId w:val="2"/>
  </w:num>
  <w:num w:numId="12">
    <w:abstractNumId w:val="1"/>
  </w:num>
  <w:num w:numId="13">
    <w:abstractNumId w:val="26"/>
  </w:num>
  <w:num w:numId="14">
    <w:abstractNumId w:val="21"/>
  </w:num>
  <w:num w:numId="15">
    <w:abstractNumId w:val="14"/>
  </w:num>
  <w:num w:numId="16">
    <w:abstractNumId w:val="3"/>
  </w:num>
  <w:num w:numId="17">
    <w:abstractNumId w:val="7"/>
  </w:num>
  <w:num w:numId="18">
    <w:abstractNumId w:val="17"/>
  </w:num>
  <w:num w:numId="19">
    <w:abstractNumId w:val="11"/>
  </w:num>
  <w:num w:numId="20">
    <w:abstractNumId w:val="0"/>
  </w:num>
  <w:num w:numId="21">
    <w:abstractNumId w:val="6"/>
  </w:num>
  <w:num w:numId="22">
    <w:abstractNumId w:val="22"/>
  </w:num>
  <w:num w:numId="23">
    <w:abstractNumId w:val="13"/>
  </w:num>
  <w:num w:numId="24">
    <w:abstractNumId w:val="10"/>
  </w:num>
  <w:num w:numId="25">
    <w:abstractNumId w:val="4"/>
  </w:num>
  <w:num w:numId="26">
    <w:abstractNumId w:val="16"/>
  </w:num>
  <w:num w:numId="27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Boladeras">
    <w15:presenceInfo w15:providerId="None" w15:userId="Alex Bolader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7B"/>
    <w:rsid w:val="00000EC3"/>
    <w:rsid w:val="00001FBD"/>
    <w:rsid w:val="000021F5"/>
    <w:rsid w:val="00005974"/>
    <w:rsid w:val="00012C48"/>
    <w:rsid w:val="00012DB3"/>
    <w:rsid w:val="0001469F"/>
    <w:rsid w:val="0002302F"/>
    <w:rsid w:val="00023436"/>
    <w:rsid w:val="00023938"/>
    <w:rsid w:val="00027C56"/>
    <w:rsid w:val="00033BCA"/>
    <w:rsid w:val="00033FC3"/>
    <w:rsid w:val="0003429A"/>
    <w:rsid w:val="00036D94"/>
    <w:rsid w:val="00045930"/>
    <w:rsid w:val="00054390"/>
    <w:rsid w:val="00057B59"/>
    <w:rsid w:val="0006393A"/>
    <w:rsid w:val="0008003C"/>
    <w:rsid w:val="000B025A"/>
    <w:rsid w:val="000B0380"/>
    <w:rsid w:val="000B28C9"/>
    <w:rsid w:val="000B486A"/>
    <w:rsid w:val="000B5A73"/>
    <w:rsid w:val="000C09C4"/>
    <w:rsid w:val="000D4338"/>
    <w:rsid w:val="000E5297"/>
    <w:rsid w:val="000E62A3"/>
    <w:rsid w:val="000E6B3D"/>
    <w:rsid w:val="000F5649"/>
    <w:rsid w:val="000F7544"/>
    <w:rsid w:val="00100366"/>
    <w:rsid w:val="00107336"/>
    <w:rsid w:val="001110C7"/>
    <w:rsid w:val="00113D77"/>
    <w:rsid w:val="00114963"/>
    <w:rsid w:val="00120EA9"/>
    <w:rsid w:val="00130F8A"/>
    <w:rsid w:val="00133EAC"/>
    <w:rsid w:val="001341E0"/>
    <w:rsid w:val="00134C37"/>
    <w:rsid w:val="001362EF"/>
    <w:rsid w:val="00136ED7"/>
    <w:rsid w:val="00145B40"/>
    <w:rsid w:val="00151FBF"/>
    <w:rsid w:val="00152DBA"/>
    <w:rsid w:val="00153376"/>
    <w:rsid w:val="00154167"/>
    <w:rsid w:val="00174B53"/>
    <w:rsid w:val="00176084"/>
    <w:rsid w:val="00180A42"/>
    <w:rsid w:val="00182E1B"/>
    <w:rsid w:val="001841BA"/>
    <w:rsid w:val="00185FBE"/>
    <w:rsid w:val="0018650E"/>
    <w:rsid w:val="0018667C"/>
    <w:rsid w:val="00191134"/>
    <w:rsid w:val="00195E61"/>
    <w:rsid w:val="001A11D4"/>
    <w:rsid w:val="001A3684"/>
    <w:rsid w:val="001A5D15"/>
    <w:rsid w:val="001B100C"/>
    <w:rsid w:val="001B2333"/>
    <w:rsid w:val="001D0B79"/>
    <w:rsid w:val="001D2D33"/>
    <w:rsid w:val="001D2EC6"/>
    <w:rsid w:val="001E2073"/>
    <w:rsid w:val="001E292A"/>
    <w:rsid w:val="001E667A"/>
    <w:rsid w:val="001F1B8A"/>
    <w:rsid w:val="001F3B12"/>
    <w:rsid w:val="001F3D2F"/>
    <w:rsid w:val="001F4ACF"/>
    <w:rsid w:val="00203F66"/>
    <w:rsid w:val="00204E5E"/>
    <w:rsid w:val="0020796D"/>
    <w:rsid w:val="00211FCE"/>
    <w:rsid w:val="00222833"/>
    <w:rsid w:val="00225524"/>
    <w:rsid w:val="00227857"/>
    <w:rsid w:val="00233965"/>
    <w:rsid w:val="00240DCA"/>
    <w:rsid w:val="0024426A"/>
    <w:rsid w:val="00244727"/>
    <w:rsid w:val="00245E7B"/>
    <w:rsid w:val="00252875"/>
    <w:rsid w:val="002538CE"/>
    <w:rsid w:val="00253924"/>
    <w:rsid w:val="002560FA"/>
    <w:rsid w:val="002611D5"/>
    <w:rsid w:val="00263C63"/>
    <w:rsid w:val="00264091"/>
    <w:rsid w:val="002645E9"/>
    <w:rsid w:val="00271AC7"/>
    <w:rsid w:val="002732DD"/>
    <w:rsid w:val="002779A1"/>
    <w:rsid w:val="00277F7A"/>
    <w:rsid w:val="002808C0"/>
    <w:rsid w:val="00281A35"/>
    <w:rsid w:val="00287F94"/>
    <w:rsid w:val="00290CC6"/>
    <w:rsid w:val="00291071"/>
    <w:rsid w:val="00291984"/>
    <w:rsid w:val="00293A1A"/>
    <w:rsid w:val="0029406F"/>
    <w:rsid w:val="002A4B8D"/>
    <w:rsid w:val="002B241C"/>
    <w:rsid w:val="002C03EC"/>
    <w:rsid w:val="002C1262"/>
    <w:rsid w:val="002C6AB9"/>
    <w:rsid w:val="002C7B81"/>
    <w:rsid w:val="002D112A"/>
    <w:rsid w:val="002D1174"/>
    <w:rsid w:val="002D52B3"/>
    <w:rsid w:val="002E0A02"/>
    <w:rsid w:val="002E0A8B"/>
    <w:rsid w:val="002E67E8"/>
    <w:rsid w:val="002E7B00"/>
    <w:rsid w:val="002F056E"/>
    <w:rsid w:val="003024C5"/>
    <w:rsid w:val="00303D50"/>
    <w:rsid w:val="003051E9"/>
    <w:rsid w:val="00307C1C"/>
    <w:rsid w:val="003173BE"/>
    <w:rsid w:val="00317784"/>
    <w:rsid w:val="00317EDB"/>
    <w:rsid w:val="003219AD"/>
    <w:rsid w:val="0032671D"/>
    <w:rsid w:val="00332DC1"/>
    <w:rsid w:val="003339C5"/>
    <w:rsid w:val="0033753C"/>
    <w:rsid w:val="00343F37"/>
    <w:rsid w:val="00344F02"/>
    <w:rsid w:val="003462C7"/>
    <w:rsid w:val="00346D2C"/>
    <w:rsid w:val="00350DEA"/>
    <w:rsid w:val="00351706"/>
    <w:rsid w:val="00351D93"/>
    <w:rsid w:val="00353578"/>
    <w:rsid w:val="00355B5A"/>
    <w:rsid w:val="0035740E"/>
    <w:rsid w:val="00357804"/>
    <w:rsid w:val="00364E20"/>
    <w:rsid w:val="00367E1A"/>
    <w:rsid w:val="00371AE6"/>
    <w:rsid w:val="00372D8C"/>
    <w:rsid w:val="00373174"/>
    <w:rsid w:val="00373D68"/>
    <w:rsid w:val="003847CC"/>
    <w:rsid w:val="00385F0D"/>
    <w:rsid w:val="00386102"/>
    <w:rsid w:val="00386BD2"/>
    <w:rsid w:val="00394D81"/>
    <w:rsid w:val="003C0CDC"/>
    <w:rsid w:val="003C4DE8"/>
    <w:rsid w:val="003C5ED1"/>
    <w:rsid w:val="003C6008"/>
    <w:rsid w:val="003D55EF"/>
    <w:rsid w:val="003D7707"/>
    <w:rsid w:val="003F2ADB"/>
    <w:rsid w:val="00400F1B"/>
    <w:rsid w:val="00401937"/>
    <w:rsid w:val="0040506B"/>
    <w:rsid w:val="004069A9"/>
    <w:rsid w:val="00411D7B"/>
    <w:rsid w:val="004130B4"/>
    <w:rsid w:val="00424A70"/>
    <w:rsid w:val="00427752"/>
    <w:rsid w:val="00427983"/>
    <w:rsid w:val="00430DEA"/>
    <w:rsid w:val="00433374"/>
    <w:rsid w:val="00433CDE"/>
    <w:rsid w:val="00435EC3"/>
    <w:rsid w:val="00437F3F"/>
    <w:rsid w:val="00445A03"/>
    <w:rsid w:val="00446AA0"/>
    <w:rsid w:val="004563D4"/>
    <w:rsid w:val="00461706"/>
    <w:rsid w:val="0046470F"/>
    <w:rsid w:val="00467BFF"/>
    <w:rsid w:val="00480E63"/>
    <w:rsid w:val="00480F6A"/>
    <w:rsid w:val="00481C31"/>
    <w:rsid w:val="00483D39"/>
    <w:rsid w:val="00485593"/>
    <w:rsid w:val="0048715F"/>
    <w:rsid w:val="004877A7"/>
    <w:rsid w:val="00487C22"/>
    <w:rsid w:val="004916E7"/>
    <w:rsid w:val="00493773"/>
    <w:rsid w:val="00493DB0"/>
    <w:rsid w:val="00495C5D"/>
    <w:rsid w:val="00496BB1"/>
    <w:rsid w:val="00497D6C"/>
    <w:rsid w:val="004A39F4"/>
    <w:rsid w:val="004B70A6"/>
    <w:rsid w:val="004B7CD6"/>
    <w:rsid w:val="004C5808"/>
    <w:rsid w:val="004D4CB8"/>
    <w:rsid w:val="004D511B"/>
    <w:rsid w:val="004E34BA"/>
    <w:rsid w:val="004E7FF3"/>
    <w:rsid w:val="004F5528"/>
    <w:rsid w:val="004F7992"/>
    <w:rsid w:val="00502A82"/>
    <w:rsid w:val="005063C4"/>
    <w:rsid w:val="00506500"/>
    <w:rsid w:val="005071E4"/>
    <w:rsid w:val="005139DA"/>
    <w:rsid w:val="0051773A"/>
    <w:rsid w:val="0052065E"/>
    <w:rsid w:val="0052194F"/>
    <w:rsid w:val="00523917"/>
    <w:rsid w:val="00524C07"/>
    <w:rsid w:val="00536F02"/>
    <w:rsid w:val="005530AA"/>
    <w:rsid w:val="005643CE"/>
    <w:rsid w:val="00566FEF"/>
    <w:rsid w:val="0057016A"/>
    <w:rsid w:val="0057091F"/>
    <w:rsid w:val="00570EBE"/>
    <w:rsid w:val="00574395"/>
    <w:rsid w:val="00575659"/>
    <w:rsid w:val="005835CB"/>
    <w:rsid w:val="00585DD9"/>
    <w:rsid w:val="00594038"/>
    <w:rsid w:val="00596904"/>
    <w:rsid w:val="005A28BC"/>
    <w:rsid w:val="005A3BBE"/>
    <w:rsid w:val="005A422F"/>
    <w:rsid w:val="005B3A7E"/>
    <w:rsid w:val="005B58F2"/>
    <w:rsid w:val="005D5A86"/>
    <w:rsid w:val="005F3934"/>
    <w:rsid w:val="0060000C"/>
    <w:rsid w:val="00600906"/>
    <w:rsid w:val="00610BC4"/>
    <w:rsid w:val="0061311A"/>
    <w:rsid w:val="006132B4"/>
    <w:rsid w:val="00617F1C"/>
    <w:rsid w:val="00620E31"/>
    <w:rsid w:val="00625457"/>
    <w:rsid w:val="00626F82"/>
    <w:rsid w:val="00646631"/>
    <w:rsid w:val="00650721"/>
    <w:rsid w:val="006529D6"/>
    <w:rsid w:val="00660E57"/>
    <w:rsid w:val="0066430B"/>
    <w:rsid w:val="00667F62"/>
    <w:rsid w:val="00671B07"/>
    <w:rsid w:val="006724E8"/>
    <w:rsid w:val="00680B89"/>
    <w:rsid w:val="00687815"/>
    <w:rsid w:val="00691014"/>
    <w:rsid w:val="006928FF"/>
    <w:rsid w:val="00692A39"/>
    <w:rsid w:val="00697ED4"/>
    <w:rsid w:val="006A1B62"/>
    <w:rsid w:val="006B08EE"/>
    <w:rsid w:val="006B20AD"/>
    <w:rsid w:val="006B24B1"/>
    <w:rsid w:val="006B3F13"/>
    <w:rsid w:val="006C0D21"/>
    <w:rsid w:val="006C0F7A"/>
    <w:rsid w:val="006C7139"/>
    <w:rsid w:val="006D5781"/>
    <w:rsid w:val="006E0A52"/>
    <w:rsid w:val="006E1FEB"/>
    <w:rsid w:val="006E3C72"/>
    <w:rsid w:val="006E7C4B"/>
    <w:rsid w:val="006F5200"/>
    <w:rsid w:val="0070438E"/>
    <w:rsid w:val="007044E3"/>
    <w:rsid w:val="00706835"/>
    <w:rsid w:val="00712122"/>
    <w:rsid w:val="00725017"/>
    <w:rsid w:val="00725179"/>
    <w:rsid w:val="007252C0"/>
    <w:rsid w:val="00725BC0"/>
    <w:rsid w:val="00730487"/>
    <w:rsid w:val="007314AD"/>
    <w:rsid w:val="00731E42"/>
    <w:rsid w:val="00732BD9"/>
    <w:rsid w:val="0073509D"/>
    <w:rsid w:val="00742A22"/>
    <w:rsid w:val="0074380A"/>
    <w:rsid w:val="00751A6A"/>
    <w:rsid w:val="007545C9"/>
    <w:rsid w:val="0075708B"/>
    <w:rsid w:val="00757BB3"/>
    <w:rsid w:val="00757BC9"/>
    <w:rsid w:val="007664FE"/>
    <w:rsid w:val="0077160A"/>
    <w:rsid w:val="0077425C"/>
    <w:rsid w:val="00776082"/>
    <w:rsid w:val="00776EE2"/>
    <w:rsid w:val="00777487"/>
    <w:rsid w:val="00781679"/>
    <w:rsid w:val="007853B1"/>
    <w:rsid w:val="00786BA0"/>
    <w:rsid w:val="0078742F"/>
    <w:rsid w:val="007A3106"/>
    <w:rsid w:val="007A5014"/>
    <w:rsid w:val="007A5ABC"/>
    <w:rsid w:val="007C0603"/>
    <w:rsid w:val="007C2552"/>
    <w:rsid w:val="007E55FB"/>
    <w:rsid w:val="007E7504"/>
    <w:rsid w:val="007F0729"/>
    <w:rsid w:val="007F3A07"/>
    <w:rsid w:val="007F3C4C"/>
    <w:rsid w:val="007F512F"/>
    <w:rsid w:val="0080298F"/>
    <w:rsid w:val="0080414C"/>
    <w:rsid w:val="00811327"/>
    <w:rsid w:val="00813500"/>
    <w:rsid w:val="008168C6"/>
    <w:rsid w:val="00834179"/>
    <w:rsid w:val="00835462"/>
    <w:rsid w:val="00836ABE"/>
    <w:rsid w:val="00843053"/>
    <w:rsid w:val="00845B58"/>
    <w:rsid w:val="0085188C"/>
    <w:rsid w:val="00852154"/>
    <w:rsid w:val="008533D3"/>
    <w:rsid w:val="008538C0"/>
    <w:rsid w:val="00854573"/>
    <w:rsid w:val="0085701B"/>
    <w:rsid w:val="00857EE4"/>
    <w:rsid w:val="00860E1A"/>
    <w:rsid w:val="00862FA7"/>
    <w:rsid w:val="00864BF8"/>
    <w:rsid w:val="00872E75"/>
    <w:rsid w:val="00874F5B"/>
    <w:rsid w:val="00875FA2"/>
    <w:rsid w:val="00882849"/>
    <w:rsid w:val="0088363C"/>
    <w:rsid w:val="008A6ABB"/>
    <w:rsid w:val="008B1B8C"/>
    <w:rsid w:val="008B3924"/>
    <w:rsid w:val="008B58C6"/>
    <w:rsid w:val="008B64D6"/>
    <w:rsid w:val="008E283B"/>
    <w:rsid w:val="008E4BDA"/>
    <w:rsid w:val="008E4BED"/>
    <w:rsid w:val="008F0D8F"/>
    <w:rsid w:val="008F0D9F"/>
    <w:rsid w:val="008F0F34"/>
    <w:rsid w:val="008F2137"/>
    <w:rsid w:val="008F76E0"/>
    <w:rsid w:val="009069F8"/>
    <w:rsid w:val="00906ACA"/>
    <w:rsid w:val="009134B1"/>
    <w:rsid w:val="00914F5A"/>
    <w:rsid w:val="00921FAE"/>
    <w:rsid w:val="00927020"/>
    <w:rsid w:val="00933642"/>
    <w:rsid w:val="00937000"/>
    <w:rsid w:val="00942253"/>
    <w:rsid w:val="009434BC"/>
    <w:rsid w:val="009434F4"/>
    <w:rsid w:val="00946D3D"/>
    <w:rsid w:val="009478D5"/>
    <w:rsid w:val="009534E7"/>
    <w:rsid w:val="00954C25"/>
    <w:rsid w:val="00960F26"/>
    <w:rsid w:val="00961A30"/>
    <w:rsid w:val="009670C8"/>
    <w:rsid w:val="00967F97"/>
    <w:rsid w:val="009723E3"/>
    <w:rsid w:val="00974791"/>
    <w:rsid w:val="00983571"/>
    <w:rsid w:val="009909DE"/>
    <w:rsid w:val="009911CC"/>
    <w:rsid w:val="00992316"/>
    <w:rsid w:val="009944D4"/>
    <w:rsid w:val="00994C2B"/>
    <w:rsid w:val="009A0339"/>
    <w:rsid w:val="009A2481"/>
    <w:rsid w:val="009A471A"/>
    <w:rsid w:val="009A6D0B"/>
    <w:rsid w:val="009C4E0E"/>
    <w:rsid w:val="009C5455"/>
    <w:rsid w:val="009D11EE"/>
    <w:rsid w:val="009E241A"/>
    <w:rsid w:val="009E4B7A"/>
    <w:rsid w:val="00A016B7"/>
    <w:rsid w:val="00A0322D"/>
    <w:rsid w:val="00A06054"/>
    <w:rsid w:val="00A10EA5"/>
    <w:rsid w:val="00A17D2B"/>
    <w:rsid w:val="00A203BE"/>
    <w:rsid w:val="00A20C6F"/>
    <w:rsid w:val="00A216C7"/>
    <w:rsid w:val="00A3173A"/>
    <w:rsid w:val="00A333EF"/>
    <w:rsid w:val="00A344AA"/>
    <w:rsid w:val="00A34943"/>
    <w:rsid w:val="00A35EE8"/>
    <w:rsid w:val="00A36808"/>
    <w:rsid w:val="00A36BA9"/>
    <w:rsid w:val="00A50CBB"/>
    <w:rsid w:val="00A52702"/>
    <w:rsid w:val="00A546E4"/>
    <w:rsid w:val="00A55346"/>
    <w:rsid w:val="00A6468A"/>
    <w:rsid w:val="00A67B67"/>
    <w:rsid w:val="00A73D8F"/>
    <w:rsid w:val="00A7710F"/>
    <w:rsid w:val="00A81077"/>
    <w:rsid w:val="00A82BC1"/>
    <w:rsid w:val="00A82CF1"/>
    <w:rsid w:val="00A835ED"/>
    <w:rsid w:val="00A91B37"/>
    <w:rsid w:val="00A93961"/>
    <w:rsid w:val="00AA3E7F"/>
    <w:rsid w:val="00AA5824"/>
    <w:rsid w:val="00AA6C8B"/>
    <w:rsid w:val="00AB1569"/>
    <w:rsid w:val="00AB49F5"/>
    <w:rsid w:val="00AC4AC8"/>
    <w:rsid w:val="00AD0156"/>
    <w:rsid w:val="00AD111A"/>
    <w:rsid w:val="00AD411E"/>
    <w:rsid w:val="00AE2C64"/>
    <w:rsid w:val="00AE3734"/>
    <w:rsid w:val="00AE5117"/>
    <w:rsid w:val="00AF0271"/>
    <w:rsid w:val="00AF05A5"/>
    <w:rsid w:val="00B01AE1"/>
    <w:rsid w:val="00B03E3F"/>
    <w:rsid w:val="00B1017F"/>
    <w:rsid w:val="00B127B8"/>
    <w:rsid w:val="00B12FBE"/>
    <w:rsid w:val="00B218F6"/>
    <w:rsid w:val="00B25BEB"/>
    <w:rsid w:val="00B269FE"/>
    <w:rsid w:val="00B41BB4"/>
    <w:rsid w:val="00B426AD"/>
    <w:rsid w:val="00B458A0"/>
    <w:rsid w:val="00B54077"/>
    <w:rsid w:val="00B55716"/>
    <w:rsid w:val="00B55BE8"/>
    <w:rsid w:val="00B56B2A"/>
    <w:rsid w:val="00B60183"/>
    <w:rsid w:val="00B61425"/>
    <w:rsid w:val="00B678C0"/>
    <w:rsid w:val="00B80AFC"/>
    <w:rsid w:val="00B81885"/>
    <w:rsid w:val="00B847D4"/>
    <w:rsid w:val="00B859D4"/>
    <w:rsid w:val="00B935DC"/>
    <w:rsid w:val="00BA13EB"/>
    <w:rsid w:val="00BA140C"/>
    <w:rsid w:val="00BA1E7B"/>
    <w:rsid w:val="00BA7424"/>
    <w:rsid w:val="00BB1245"/>
    <w:rsid w:val="00BB6274"/>
    <w:rsid w:val="00BB72C0"/>
    <w:rsid w:val="00BC0021"/>
    <w:rsid w:val="00BC194B"/>
    <w:rsid w:val="00BC1FCF"/>
    <w:rsid w:val="00BC3610"/>
    <w:rsid w:val="00BC57C2"/>
    <w:rsid w:val="00BC6228"/>
    <w:rsid w:val="00BC7513"/>
    <w:rsid w:val="00BD44C4"/>
    <w:rsid w:val="00BD4FD3"/>
    <w:rsid w:val="00BE0A0F"/>
    <w:rsid w:val="00BE351D"/>
    <w:rsid w:val="00BE47CB"/>
    <w:rsid w:val="00BE4E04"/>
    <w:rsid w:val="00BE51C2"/>
    <w:rsid w:val="00BF218A"/>
    <w:rsid w:val="00BF37A1"/>
    <w:rsid w:val="00C0004B"/>
    <w:rsid w:val="00C02A08"/>
    <w:rsid w:val="00C059A1"/>
    <w:rsid w:val="00C0695B"/>
    <w:rsid w:val="00C1663A"/>
    <w:rsid w:val="00C175AC"/>
    <w:rsid w:val="00C176DE"/>
    <w:rsid w:val="00C25FA3"/>
    <w:rsid w:val="00C27BC1"/>
    <w:rsid w:val="00C32DBF"/>
    <w:rsid w:val="00C32FDB"/>
    <w:rsid w:val="00C37EF8"/>
    <w:rsid w:val="00C417AA"/>
    <w:rsid w:val="00C45A23"/>
    <w:rsid w:val="00C578DB"/>
    <w:rsid w:val="00C61537"/>
    <w:rsid w:val="00C61647"/>
    <w:rsid w:val="00C61D22"/>
    <w:rsid w:val="00C64BC2"/>
    <w:rsid w:val="00C6732B"/>
    <w:rsid w:val="00C740D9"/>
    <w:rsid w:val="00C803DF"/>
    <w:rsid w:val="00C90CFA"/>
    <w:rsid w:val="00C91B31"/>
    <w:rsid w:val="00C92474"/>
    <w:rsid w:val="00C942E2"/>
    <w:rsid w:val="00C9584B"/>
    <w:rsid w:val="00C96067"/>
    <w:rsid w:val="00C961ED"/>
    <w:rsid w:val="00C96852"/>
    <w:rsid w:val="00CA4635"/>
    <w:rsid w:val="00CA5050"/>
    <w:rsid w:val="00CB56B2"/>
    <w:rsid w:val="00CB72A1"/>
    <w:rsid w:val="00CC104B"/>
    <w:rsid w:val="00CC1AC1"/>
    <w:rsid w:val="00CC2D66"/>
    <w:rsid w:val="00CC550B"/>
    <w:rsid w:val="00CC5A5B"/>
    <w:rsid w:val="00CC72E2"/>
    <w:rsid w:val="00CD0FE6"/>
    <w:rsid w:val="00CE00A5"/>
    <w:rsid w:val="00CE1B6B"/>
    <w:rsid w:val="00CE79AC"/>
    <w:rsid w:val="00CF28C7"/>
    <w:rsid w:val="00CF2A61"/>
    <w:rsid w:val="00CF7EF7"/>
    <w:rsid w:val="00D0730D"/>
    <w:rsid w:val="00D174E6"/>
    <w:rsid w:val="00D20538"/>
    <w:rsid w:val="00D219CA"/>
    <w:rsid w:val="00D21A15"/>
    <w:rsid w:val="00D22D56"/>
    <w:rsid w:val="00D2392E"/>
    <w:rsid w:val="00D25FC5"/>
    <w:rsid w:val="00D262DB"/>
    <w:rsid w:val="00D31F8B"/>
    <w:rsid w:val="00D428F4"/>
    <w:rsid w:val="00D42919"/>
    <w:rsid w:val="00D432F0"/>
    <w:rsid w:val="00D43618"/>
    <w:rsid w:val="00D45E5D"/>
    <w:rsid w:val="00D501AE"/>
    <w:rsid w:val="00D62023"/>
    <w:rsid w:val="00D737D3"/>
    <w:rsid w:val="00D77ED2"/>
    <w:rsid w:val="00D81D8F"/>
    <w:rsid w:val="00D8616F"/>
    <w:rsid w:val="00D873FD"/>
    <w:rsid w:val="00D911E1"/>
    <w:rsid w:val="00D91A0E"/>
    <w:rsid w:val="00DA1D47"/>
    <w:rsid w:val="00DA7061"/>
    <w:rsid w:val="00DB529B"/>
    <w:rsid w:val="00DB52D8"/>
    <w:rsid w:val="00DC06D6"/>
    <w:rsid w:val="00DC16B1"/>
    <w:rsid w:val="00DC39BD"/>
    <w:rsid w:val="00DC5D47"/>
    <w:rsid w:val="00DC6A95"/>
    <w:rsid w:val="00DC782C"/>
    <w:rsid w:val="00DD0A26"/>
    <w:rsid w:val="00DD17D8"/>
    <w:rsid w:val="00DD2012"/>
    <w:rsid w:val="00DD5F3C"/>
    <w:rsid w:val="00DE31BE"/>
    <w:rsid w:val="00DF3874"/>
    <w:rsid w:val="00DF41B4"/>
    <w:rsid w:val="00E013D9"/>
    <w:rsid w:val="00E0511E"/>
    <w:rsid w:val="00E12410"/>
    <w:rsid w:val="00E20271"/>
    <w:rsid w:val="00E20511"/>
    <w:rsid w:val="00E21D8B"/>
    <w:rsid w:val="00E266A5"/>
    <w:rsid w:val="00E275AB"/>
    <w:rsid w:val="00E301AF"/>
    <w:rsid w:val="00E30AC0"/>
    <w:rsid w:val="00E34E55"/>
    <w:rsid w:val="00E43573"/>
    <w:rsid w:val="00E436D0"/>
    <w:rsid w:val="00E4570E"/>
    <w:rsid w:val="00E45D0C"/>
    <w:rsid w:val="00E47E3C"/>
    <w:rsid w:val="00E54E78"/>
    <w:rsid w:val="00E61EE4"/>
    <w:rsid w:val="00E62C3A"/>
    <w:rsid w:val="00E63DE5"/>
    <w:rsid w:val="00E649E7"/>
    <w:rsid w:val="00E714D6"/>
    <w:rsid w:val="00E73ABF"/>
    <w:rsid w:val="00E7535F"/>
    <w:rsid w:val="00E753DC"/>
    <w:rsid w:val="00E83A76"/>
    <w:rsid w:val="00E8629D"/>
    <w:rsid w:val="00E86FB4"/>
    <w:rsid w:val="00E87500"/>
    <w:rsid w:val="00E9097F"/>
    <w:rsid w:val="00E9127C"/>
    <w:rsid w:val="00E95CBD"/>
    <w:rsid w:val="00E971D6"/>
    <w:rsid w:val="00E97784"/>
    <w:rsid w:val="00EA002E"/>
    <w:rsid w:val="00EA126E"/>
    <w:rsid w:val="00EA3B06"/>
    <w:rsid w:val="00EA61C0"/>
    <w:rsid w:val="00EB0F20"/>
    <w:rsid w:val="00EB40B4"/>
    <w:rsid w:val="00EB68C4"/>
    <w:rsid w:val="00EC446C"/>
    <w:rsid w:val="00ED1EBB"/>
    <w:rsid w:val="00EE2355"/>
    <w:rsid w:val="00EE5FA3"/>
    <w:rsid w:val="00EF19FD"/>
    <w:rsid w:val="00F022C8"/>
    <w:rsid w:val="00F025F0"/>
    <w:rsid w:val="00F028ED"/>
    <w:rsid w:val="00F04A9B"/>
    <w:rsid w:val="00F067C5"/>
    <w:rsid w:val="00F06AFB"/>
    <w:rsid w:val="00F07768"/>
    <w:rsid w:val="00F12F61"/>
    <w:rsid w:val="00F16661"/>
    <w:rsid w:val="00F2000E"/>
    <w:rsid w:val="00F27ADA"/>
    <w:rsid w:val="00F3228D"/>
    <w:rsid w:val="00F34708"/>
    <w:rsid w:val="00F4069D"/>
    <w:rsid w:val="00F42AFE"/>
    <w:rsid w:val="00F549B4"/>
    <w:rsid w:val="00F54F9C"/>
    <w:rsid w:val="00F553A5"/>
    <w:rsid w:val="00F644BA"/>
    <w:rsid w:val="00F64B3E"/>
    <w:rsid w:val="00F66109"/>
    <w:rsid w:val="00F7073B"/>
    <w:rsid w:val="00F845F5"/>
    <w:rsid w:val="00F8557A"/>
    <w:rsid w:val="00F90D35"/>
    <w:rsid w:val="00F92729"/>
    <w:rsid w:val="00F96D33"/>
    <w:rsid w:val="00F97BD6"/>
    <w:rsid w:val="00FA2FA9"/>
    <w:rsid w:val="00FB347E"/>
    <w:rsid w:val="00FC3FB6"/>
    <w:rsid w:val="00FD344A"/>
    <w:rsid w:val="00FD5CDE"/>
    <w:rsid w:val="00FD678E"/>
    <w:rsid w:val="00FD69A1"/>
    <w:rsid w:val="00FE0FB5"/>
    <w:rsid w:val="00FE1378"/>
    <w:rsid w:val="00FE28BE"/>
    <w:rsid w:val="00FE3684"/>
    <w:rsid w:val="00FE6166"/>
    <w:rsid w:val="00FE619C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CC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7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FootnoteText">
    <w:name w:val="footnote text"/>
    <w:aliases w:val="ft,Footnote Text Char1,Footnote Text Char Char,ft Char,FA,FA Fußnotentext,fn,Footnotetext,ftx,Footnotetext1,Footnotetext2,ftx1,Footnotetext3,ftx2,Footnotetext4,ftx3,Footnotetext5,ftx4,Footnotetext6,Footnotetext7,ftx5,Footnotetext8,ftx11"/>
    <w:basedOn w:val="Normal"/>
    <w:link w:val="FootnoteTextChar"/>
    <w:unhideWhenUsed/>
    <w:rsid w:val="00245E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t Char1,Footnote Text Char1 Char,Footnote Text Char Char Char,ft Char Char,FA Char,FA Fußnotentext Char,fn Char,Footnotetext Char,ftx Char,Footnotetext1 Char,Footnotetext2 Char,ftx1 Char,Footnotetext3 Char,ftx2 Char,ftx3 Char"/>
    <w:basedOn w:val="DefaultParagraphFont"/>
    <w:link w:val="FootnoteText"/>
    <w:rsid w:val="00245E7B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aliases w:val="Footnotemark,FR,Footnotemark1,Footnotemark2,FR1,Footnotemark3,FR2,Footnotemark4,FR3,Footnotemark5,FR4,Footnotemark6,Footnotemark7,Footnotemark8,FR5,Footnotemark11,Footnotemark21,FR11,Footnotemark31,FR21,Footnotemark41,FR31,footnumber"/>
    <w:basedOn w:val="DefaultParagraphFont"/>
    <w:uiPriority w:val="99"/>
    <w:unhideWhenUsed/>
    <w:rsid w:val="00245E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5E7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45E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5E7B"/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245E7B"/>
    <w:rPr>
      <w:rFonts w:eastAsiaTheme="minorHAnsi"/>
      <w:sz w:val="22"/>
      <w:szCs w:val="22"/>
      <w:lang w:val="en-GB"/>
    </w:rPr>
  </w:style>
  <w:style w:type="character" w:styleId="Hyperlink">
    <w:name w:val="Hyperlink"/>
    <w:rsid w:val="00245E7B"/>
    <w:rPr>
      <w:color w:val="0000FF"/>
      <w:u w:val="single"/>
    </w:rPr>
  </w:style>
  <w:style w:type="character" w:styleId="Emphasis">
    <w:name w:val="Emphasis"/>
    <w:uiPriority w:val="20"/>
    <w:qFormat/>
    <w:rsid w:val="00245E7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45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7B"/>
    <w:rPr>
      <w:rFonts w:eastAsiaTheme="minorHAnsi"/>
      <w:sz w:val="22"/>
      <w:szCs w:val="22"/>
      <w:lang w:val="en-GB"/>
    </w:rPr>
  </w:style>
  <w:style w:type="character" w:styleId="Strong">
    <w:name w:val="Strong"/>
    <w:uiPriority w:val="22"/>
    <w:qFormat/>
    <w:rsid w:val="00245E7B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57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7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F3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E786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786F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786F"/>
    <w:pPr>
      <w:spacing w:after="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6F"/>
    <w:rPr>
      <w:rFonts w:ascii="Lucida Grande" w:eastAsiaTheme="minorHAnsi" w:hAnsi="Lucida Grande"/>
      <w:sz w:val="18"/>
      <w:szCs w:val="18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E786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786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786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786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786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786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786F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640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960F26"/>
    <w:pPr>
      <w:numPr>
        <w:numId w:val="20"/>
      </w:numPr>
      <w:contextualSpacing/>
    </w:pPr>
  </w:style>
  <w:style w:type="paragraph" w:customStyle="1" w:styleId="Default">
    <w:name w:val="Default"/>
    <w:rsid w:val="003051E9"/>
    <w:pPr>
      <w:autoSpaceDE w:val="0"/>
      <w:autoSpaceDN w:val="0"/>
      <w:adjustRightInd w:val="0"/>
    </w:pPr>
    <w:rPr>
      <w:rFonts w:ascii="Georgia" w:eastAsia="Times New Roman" w:hAnsi="Georgia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266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66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6A5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6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6A5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68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52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446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22F"/>
    <w:pPr>
      <w:spacing w:after="0" w:line="240" w:lineRule="auto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22F"/>
    <w:rPr>
      <w:rFonts w:ascii="Times New Roman" w:eastAsiaTheme="minorHAnsi" w:hAnsi="Times New Roman"/>
      <w:color w:val="000000" w:themeColor="text1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A4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7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FootnoteText">
    <w:name w:val="footnote text"/>
    <w:aliases w:val="ft,Footnote Text Char1,Footnote Text Char Char,ft Char,FA,FA Fußnotentext,fn,Footnotetext,ftx,Footnotetext1,Footnotetext2,ftx1,Footnotetext3,ftx2,Footnotetext4,ftx3,Footnotetext5,ftx4,Footnotetext6,Footnotetext7,ftx5,Footnotetext8,ftx11"/>
    <w:basedOn w:val="Normal"/>
    <w:link w:val="FootnoteTextChar"/>
    <w:unhideWhenUsed/>
    <w:rsid w:val="00245E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t Char1,Footnote Text Char1 Char,Footnote Text Char Char Char,ft Char Char,FA Char,FA Fußnotentext Char,fn Char,Footnotetext Char,ftx Char,Footnotetext1 Char,Footnotetext2 Char,ftx1 Char,Footnotetext3 Char,ftx2 Char,ftx3 Char"/>
    <w:basedOn w:val="DefaultParagraphFont"/>
    <w:link w:val="FootnoteText"/>
    <w:rsid w:val="00245E7B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aliases w:val="Footnotemark,FR,Footnotemark1,Footnotemark2,FR1,Footnotemark3,FR2,Footnotemark4,FR3,Footnotemark5,FR4,Footnotemark6,Footnotemark7,Footnotemark8,FR5,Footnotemark11,Footnotemark21,FR11,Footnotemark31,FR21,Footnotemark41,FR31,footnumber"/>
    <w:basedOn w:val="DefaultParagraphFont"/>
    <w:uiPriority w:val="99"/>
    <w:unhideWhenUsed/>
    <w:rsid w:val="00245E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5E7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45E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5E7B"/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245E7B"/>
    <w:rPr>
      <w:rFonts w:eastAsiaTheme="minorHAnsi"/>
      <w:sz w:val="22"/>
      <w:szCs w:val="22"/>
      <w:lang w:val="en-GB"/>
    </w:rPr>
  </w:style>
  <w:style w:type="character" w:styleId="Hyperlink">
    <w:name w:val="Hyperlink"/>
    <w:rsid w:val="00245E7B"/>
    <w:rPr>
      <w:color w:val="0000FF"/>
      <w:u w:val="single"/>
    </w:rPr>
  </w:style>
  <w:style w:type="character" w:styleId="Emphasis">
    <w:name w:val="Emphasis"/>
    <w:uiPriority w:val="20"/>
    <w:qFormat/>
    <w:rsid w:val="00245E7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45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7B"/>
    <w:rPr>
      <w:rFonts w:eastAsiaTheme="minorHAnsi"/>
      <w:sz w:val="22"/>
      <w:szCs w:val="22"/>
      <w:lang w:val="en-GB"/>
    </w:rPr>
  </w:style>
  <w:style w:type="character" w:styleId="Strong">
    <w:name w:val="Strong"/>
    <w:uiPriority w:val="22"/>
    <w:qFormat/>
    <w:rsid w:val="00245E7B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57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7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F3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E786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786F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786F"/>
    <w:pPr>
      <w:spacing w:after="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6F"/>
    <w:rPr>
      <w:rFonts w:ascii="Lucida Grande" w:eastAsiaTheme="minorHAnsi" w:hAnsi="Lucida Grande"/>
      <w:sz w:val="18"/>
      <w:szCs w:val="18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E786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786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786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786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786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786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786F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640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960F26"/>
    <w:pPr>
      <w:numPr>
        <w:numId w:val="20"/>
      </w:numPr>
      <w:contextualSpacing/>
    </w:pPr>
  </w:style>
  <w:style w:type="paragraph" w:customStyle="1" w:styleId="Default">
    <w:name w:val="Default"/>
    <w:rsid w:val="003051E9"/>
    <w:pPr>
      <w:autoSpaceDE w:val="0"/>
      <w:autoSpaceDN w:val="0"/>
      <w:adjustRightInd w:val="0"/>
    </w:pPr>
    <w:rPr>
      <w:rFonts w:ascii="Georgia" w:eastAsia="Times New Roman" w:hAnsi="Georgia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266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66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6A5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6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6A5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68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52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446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22F"/>
    <w:pPr>
      <w:spacing w:after="0" w:line="240" w:lineRule="auto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22F"/>
    <w:rPr>
      <w:rFonts w:ascii="Times New Roman" w:eastAsiaTheme="minorHAnsi" w:hAnsi="Times New Roman"/>
      <w:color w:val="000000" w:themeColor="text1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A4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0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20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6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4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84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79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10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42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09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10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63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6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820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24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o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14DC5-BA1A-4D5F-9701-891604F7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Creutzfeldt</dc:creator>
  <cp:lastModifiedBy>Christopher Hodges</cp:lastModifiedBy>
  <cp:revision>4</cp:revision>
  <cp:lastPrinted>2015-02-18T12:29:00Z</cp:lastPrinted>
  <dcterms:created xsi:type="dcterms:W3CDTF">2016-07-06T13:54:00Z</dcterms:created>
  <dcterms:modified xsi:type="dcterms:W3CDTF">2016-07-07T07:57:00Z</dcterms:modified>
</cp:coreProperties>
</file>