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87F1B" w14:textId="4A6ED900" w:rsidR="007F3E4B" w:rsidRPr="007F3E4B" w:rsidRDefault="00515833" w:rsidP="00515833">
      <w:pPr>
        <w:rPr>
          <w:b/>
          <w:bCs/>
          <w:i/>
          <w:iCs/>
        </w:rPr>
      </w:pPr>
      <w:r w:rsidRPr="007F3E4B">
        <w:rPr>
          <w:b/>
          <w:bCs/>
        </w:rPr>
        <w:t>Sentencing Act 2020</w:t>
      </w:r>
      <w:r w:rsidR="007F3E4B">
        <w:rPr>
          <w:b/>
          <w:bCs/>
          <w:i/>
          <w:iCs/>
        </w:rPr>
        <w:t xml:space="preserve"> (commencing on 1 December 2020)</w:t>
      </w:r>
    </w:p>
    <w:p w14:paraId="1D23DB46" w14:textId="1E163F4B" w:rsidR="007F3E4B" w:rsidRPr="007F3E4B" w:rsidRDefault="007F3E4B" w:rsidP="007F3E4B">
      <w:pPr>
        <w:shd w:val="clear" w:color="auto" w:fill="FFFFFF"/>
        <w:spacing w:after="120" w:line="360" w:lineRule="atLeast"/>
        <w:rPr>
          <w:rFonts w:ascii="Arial" w:eastAsia="Times New Roman" w:hAnsi="Arial" w:cs="Arial"/>
          <w:i/>
          <w:iCs/>
          <w:color w:val="FF0000"/>
          <w:sz w:val="19"/>
          <w:szCs w:val="19"/>
          <w:lang w:eastAsia="en-GB"/>
        </w:rPr>
      </w:pPr>
      <w:r w:rsidRPr="007F3E4B">
        <w:rPr>
          <w:rFonts w:ascii="Arial" w:eastAsia="Times New Roman" w:hAnsi="Arial" w:cs="Arial"/>
          <w:i/>
          <w:iCs/>
          <w:color w:val="FF0000"/>
          <w:sz w:val="19"/>
          <w:szCs w:val="19"/>
          <w:lang w:eastAsia="en-GB"/>
        </w:rPr>
        <w:t>[Power to impose community order on persistent offender previously fined: introduced through an amendment by Schedule 22, Paragraph 14, of the Sentencing Act, inserting section 204A into the main Act]</w:t>
      </w:r>
    </w:p>
    <w:p w14:paraId="70C74193" w14:textId="77777777" w:rsidR="007F3E4B" w:rsidRDefault="007F3E4B" w:rsidP="007F3E4B">
      <w:pPr>
        <w:shd w:val="clear" w:color="auto" w:fill="FFFFFF"/>
        <w:spacing w:after="120" w:line="288" w:lineRule="atLeast"/>
        <w:outlineLvl w:val="4"/>
        <w:rPr>
          <w:rFonts w:ascii="Arial" w:eastAsia="Times New Roman" w:hAnsi="Arial" w:cs="Arial"/>
          <w:color w:val="000000"/>
          <w:sz w:val="19"/>
          <w:szCs w:val="19"/>
          <w:lang w:eastAsia="en-GB"/>
        </w:rPr>
      </w:pPr>
    </w:p>
    <w:p w14:paraId="6CB53A8D" w14:textId="1368CA98" w:rsidR="007F3E4B" w:rsidRPr="009D1ECC" w:rsidRDefault="007F3E4B" w:rsidP="007F3E4B">
      <w:pPr>
        <w:shd w:val="clear" w:color="auto" w:fill="FFFFFF"/>
        <w:spacing w:after="120" w:line="288" w:lineRule="atLeast"/>
        <w:outlineLvl w:val="4"/>
        <w:rPr>
          <w:rFonts w:ascii="Arial" w:eastAsia="Times New Roman" w:hAnsi="Arial" w:cs="Arial"/>
          <w:b/>
          <w:bCs/>
          <w:color w:val="000000"/>
          <w:sz w:val="19"/>
          <w:szCs w:val="19"/>
          <w:lang w:eastAsia="en-GB"/>
        </w:rPr>
      </w:pPr>
      <w:r w:rsidRPr="009D1ECC">
        <w:rPr>
          <w:rFonts w:ascii="Arial" w:eastAsia="Times New Roman" w:hAnsi="Arial" w:cs="Arial"/>
          <w:b/>
          <w:bCs/>
          <w:color w:val="000000"/>
          <w:sz w:val="19"/>
          <w:szCs w:val="19"/>
          <w:lang w:eastAsia="en-GB"/>
        </w:rPr>
        <w:t>Sentencing Act 2020, section 204 A (Exercise of power to impose community order: persistent offender previously fined)</w:t>
      </w:r>
      <w:r w:rsidR="001157D8" w:rsidRPr="009D1ECC">
        <w:rPr>
          <w:rStyle w:val="FootnoteReference"/>
          <w:rFonts w:ascii="Arial" w:eastAsia="Times New Roman" w:hAnsi="Arial" w:cs="Arial"/>
          <w:b/>
          <w:bCs/>
          <w:color w:val="000000"/>
          <w:sz w:val="19"/>
          <w:szCs w:val="19"/>
          <w:lang w:eastAsia="en-GB"/>
        </w:rPr>
        <w:footnoteReference w:id="1"/>
      </w:r>
    </w:p>
    <w:p w14:paraId="7F9420FD" w14:textId="77777777" w:rsidR="007F3E4B" w:rsidRPr="009D1ECC" w:rsidRDefault="007F3E4B" w:rsidP="007F3E4B">
      <w:pPr>
        <w:shd w:val="clear" w:color="auto" w:fill="FFFFFF"/>
        <w:spacing w:after="120" w:line="360" w:lineRule="atLeast"/>
        <w:rPr>
          <w:rFonts w:ascii="Arial" w:eastAsia="Times New Roman" w:hAnsi="Arial" w:cs="Arial"/>
          <w:color w:val="000000"/>
          <w:sz w:val="19"/>
          <w:szCs w:val="19"/>
          <w:lang w:eastAsia="en-GB"/>
        </w:rPr>
      </w:pPr>
      <w:r w:rsidRPr="009D1ECC">
        <w:rPr>
          <w:rFonts w:ascii="Arial" w:eastAsia="Times New Roman" w:hAnsi="Arial" w:cs="Arial"/>
          <w:color w:val="000000"/>
          <w:sz w:val="19"/>
          <w:szCs w:val="19"/>
          <w:lang w:eastAsia="en-GB"/>
        </w:rPr>
        <w:t>(1)Subsection </w:t>
      </w:r>
      <w:hyperlink r:id="rId7" w:anchor="p02864" w:tooltip="Go to 14 Availability etc of community order Exercise of power to impose community order: persistent offender previously fined (2)(2) in SCHEDULE 22, PART 4" w:history="1">
        <w:r w:rsidRPr="009D1ECC">
          <w:rPr>
            <w:rFonts w:ascii="Arial" w:eastAsia="Times New Roman" w:hAnsi="Arial" w:cs="Arial"/>
            <w:color w:val="2D7CA4"/>
            <w:sz w:val="18"/>
            <w:szCs w:val="18"/>
            <w:lang w:eastAsia="en-GB"/>
          </w:rPr>
          <w:t>(2)</w:t>
        </w:r>
      </w:hyperlink>
      <w:r w:rsidRPr="009D1ECC">
        <w:rPr>
          <w:rFonts w:ascii="Arial" w:eastAsia="Times New Roman" w:hAnsi="Arial" w:cs="Arial"/>
          <w:color w:val="000000"/>
          <w:sz w:val="19"/>
          <w:szCs w:val="19"/>
          <w:lang w:eastAsia="en-GB"/>
        </w:rPr>
        <w:t> applies (in addition to section 204</w:t>
      </w:r>
      <w:hyperlink r:id="rId8" w:tooltip="Go to " w:history="1">
        <w:r w:rsidRPr="009D1ECC">
          <w:rPr>
            <w:rFonts w:ascii="Arial" w:eastAsia="Times New Roman" w:hAnsi="Arial" w:cs="Arial"/>
            <w:color w:val="2D7CA4"/>
            <w:sz w:val="18"/>
            <w:szCs w:val="18"/>
            <w:lang w:eastAsia="en-GB"/>
          </w:rPr>
          <w:t>(2)</w:t>
        </w:r>
      </w:hyperlink>
      <w:r w:rsidRPr="009D1ECC">
        <w:rPr>
          <w:rFonts w:ascii="Arial" w:eastAsia="Times New Roman" w:hAnsi="Arial" w:cs="Arial"/>
          <w:color w:val="000000"/>
          <w:sz w:val="19"/>
          <w:szCs w:val="19"/>
          <w:lang w:eastAsia="en-GB"/>
        </w:rPr>
        <w:t>) where—</w:t>
      </w:r>
    </w:p>
    <w:p w14:paraId="70C28E28" w14:textId="77777777" w:rsidR="007F3E4B" w:rsidRPr="009D1ECC" w:rsidRDefault="007F3E4B" w:rsidP="007F3E4B">
      <w:pPr>
        <w:shd w:val="clear" w:color="auto" w:fill="FFFFFF"/>
        <w:spacing w:after="120" w:line="360" w:lineRule="atLeast"/>
        <w:rPr>
          <w:rFonts w:ascii="Arial" w:eastAsia="Times New Roman" w:hAnsi="Arial" w:cs="Arial"/>
          <w:color w:val="000000"/>
          <w:sz w:val="19"/>
          <w:szCs w:val="19"/>
          <w:lang w:eastAsia="en-GB"/>
        </w:rPr>
      </w:pPr>
      <w:r w:rsidRPr="009D1ECC">
        <w:rPr>
          <w:rFonts w:ascii="Arial" w:eastAsia="Times New Roman" w:hAnsi="Arial" w:cs="Arial"/>
          <w:color w:val="000000"/>
          <w:sz w:val="19"/>
          <w:szCs w:val="19"/>
          <w:lang w:eastAsia="en-GB"/>
        </w:rPr>
        <w:t>(a)a community order is available to a court dealing with an offender by virtue of section 202</w:t>
      </w:r>
      <w:hyperlink r:id="rId9" w:anchor="p02860" w:tooltip="Go to 13 Availability etc of community order (b) in SCHEDULE 22, PART 4" w:history="1">
        <w:r w:rsidRPr="009D1ECC">
          <w:rPr>
            <w:rFonts w:ascii="Arial" w:eastAsia="Times New Roman" w:hAnsi="Arial" w:cs="Arial"/>
            <w:color w:val="2D7CA4"/>
            <w:sz w:val="18"/>
            <w:szCs w:val="18"/>
            <w:lang w:eastAsia="en-GB"/>
          </w:rPr>
          <w:t>(1A)(b)</w:t>
        </w:r>
      </w:hyperlink>
      <w:r w:rsidRPr="009D1ECC">
        <w:rPr>
          <w:rFonts w:ascii="Arial" w:eastAsia="Times New Roman" w:hAnsi="Arial" w:cs="Arial"/>
          <w:color w:val="000000"/>
          <w:sz w:val="19"/>
          <w:szCs w:val="19"/>
          <w:lang w:eastAsia="en-GB"/>
        </w:rPr>
        <w:t> (offender fined at least three times), and</w:t>
      </w:r>
    </w:p>
    <w:p w14:paraId="72D4854C" w14:textId="77777777" w:rsidR="007F3E4B" w:rsidRPr="009D1ECC" w:rsidRDefault="007F3E4B" w:rsidP="007F3E4B">
      <w:pPr>
        <w:shd w:val="clear" w:color="auto" w:fill="FFFFFF"/>
        <w:spacing w:after="120" w:line="360" w:lineRule="atLeast"/>
        <w:rPr>
          <w:rFonts w:ascii="Arial" w:eastAsia="Times New Roman" w:hAnsi="Arial" w:cs="Arial"/>
          <w:color w:val="000000"/>
          <w:sz w:val="19"/>
          <w:szCs w:val="19"/>
          <w:lang w:eastAsia="en-GB"/>
        </w:rPr>
      </w:pPr>
      <w:r w:rsidRPr="009D1ECC">
        <w:rPr>
          <w:rFonts w:ascii="Arial" w:eastAsia="Times New Roman" w:hAnsi="Arial" w:cs="Arial"/>
          <w:color w:val="000000"/>
          <w:sz w:val="19"/>
          <w:szCs w:val="19"/>
          <w:lang w:eastAsia="en-GB"/>
        </w:rPr>
        <w:t>(b)the offence is not punishable with imprisonment by that court.</w:t>
      </w:r>
    </w:p>
    <w:p w14:paraId="5BAC7395" w14:textId="5E0A9CAF" w:rsidR="007F3E4B" w:rsidRDefault="007F3E4B" w:rsidP="007F3E4B">
      <w:pPr>
        <w:rPr>
          <w:b/>
          <w:bCs/>
          <w:i/>
          <w:iCs/>
        </w:rPr>
      </w:pPr>
      <w:r w:rsidRPr="009D1ECC">
        <w:rPr>
          <w:rFonts w:ascii="Arial" w:eastAsia="Times New Roman" w:hAnsi="Arial" w:cs="Arial"/>
          <w:color w:val="000000"/>
          <w:sz w:val="19"/>
          <w:szCs w:val="19"/>
          <w:lang w:eastAsia="en-GB"/>
        </w:rPr>
        <w:t>(2)The court may not make a community order unless it also considers that, having regard to all the circumstances including the matters mentioned in subsection </w:t>
      </w:r>
      <w:hyperlink r:id="rId10" w:anchor="p02869" w:tooltip="Go to 14 Availability etc of community order Exercise of power to impose community order: persistent offender previously fined (2)(5) in SCHEDULE 22, PART 4" w:history="1">
        <w:r w:rsidRPr="009D1ECC">
          <w:rPr>
            <w:rFonts w:ascii="Arial" w:eastAsia="Times New Roman" w:hAnsi="Arial" w:cs="Arial"/>
            <w:color w:val="2D7CA4"/>
            <w:sz w:val="18"/>
            <w:szCs w:val="18"/>
            <w:lang w:eastAsia="en-GB"/>
          </w:rPr>
          <w:t>(5)</w:t>
        </w:r>
      </w:hyperlink>
      <w:r w:rsidRPr="009D1ECC">
        <w:rPr>
          <w:rFonts w:ascii="Arial" w:eastAsia="Times New Roman" w:hAnsi="Arial" w:cs="Arial"/>
          <w:color w:val="000000"/>
          <w:sz w:val="19"/>
          <w:szCs w:val="19"/>
          <w:lang w:eastAsia="en-GB"/>
        </w:rPr>
        <w:t>, it would be in the interests of justice to make a community order.</w:t>
      </w:r>
    </w:p>
    <w:p w14:paraId="33DB6400" w14:textId="0FEBC922" w:rsidR="0081252F" w:rsidRDefault="0081252F" w:rsidP="00515833">
      <w:pPr>
        <w:rPr>
          <w:b/>
          <w:bCs/>
          <w:i/>
          <w:iCs/>
        </w:rPr>
      </w:pPr>
    </w:p>
    <w:p w14:paraId="65B448D2" w14:textId="7811E812" w:rsidR="00515833" w:rsidRDefault="0081252F" w:rsidP="00515833">
      <w:pPr>
        <w:rPr>
          <w:b/>
          <w:bCs/>
          <w:i/>
          <w:iCs/>
        </w:rPr>
      </w:pPr>
      <w:r>
        <w:rPr>
          <w:b/>
          <w:bCs/>
          <w:i/>
          <w:iCs/>
        </w:rPr>
        <w:t>Sentencing Act 2020</w:t>
      </w:r>
      <w:r w:rsidR="00515833">
        <w:rPr>
          <w:b/>
          <w:bCs/>
          <w:i/>
          <w:iCs/>
        </w:rPr>
        <w:t>, Schedule 10</w:t>
      </w:r>
      <w:r>
        <w:rPr>
          <w:b/>
          <w:bCs/>
          <w:i/>
          <w:iCs/>
        </w:rPr>
        <w:t xml:space="preserve"> (</w:t>
      </w:r>
      <w:r w:rsidRPr="0081252F">
        <w:rPr>
          <w:b/>
          <w:bCs/>
          <w:i/>
          <w:iCs/>
        </w:rPr>
        <w:t>Breach, revocation or amendment of community order</w:t>
      </w:r>
      <w:r>
        <w:rPr>
          <w:b/>
          <w:bCs/>
          <w:i/>
          <w:iCs/>
        </w:rPr>
        <w:t>)</w:t>
      </w:r>
      <w:r w:rsidRPr="0081252F">
        <w:rPr>
          <w:b/>
          <w:bCs/>
          <w:i/>
          <w:iCs/>
        </w:rPr>
        <w:t xml:space="preserve"> </w:t>
      </w:r>
    </w:p>
    <w:p w14:paraId="5BC26FA2" w14:textId="125DD6EB" w:rsidR="0081252F" w:rsidRDefault="001444A1" w:rsidP="00515833">
      <w:pPr>
        <w:rPr>
          <w:b/>
          <w:bCs/>
        </w:rPr>
      </w:pPr>
      <w:r w:rsidRPr="007F3E4B">
        <w:rPr>
          <w:rFonts w:ascii="Arial" w:eastAsia="Times New Roman" w:hAnsi="Arial" w:cs="Arial"/>
          <w:i/>
          <w:iCs/>
          <w:color w:val="FF0000"/>
          <w:sz w:val="19"/>
          <w:szCs w:val="19"/>
          <w:lang w:eastAsia="en-GB"/>
        </w:rPr>
        <w:t>[</w:t>
      </w:r>
      <w:r>
        <w:rPr>
          <w:rFonts w:ascii="Arial" w:eastAsia="Times New Roman" w:hAnsi="Arial" w:cs="Arial"/>
          <w:i/>
          <w:iCs/>
          <w:color w:val="FF0000"/>
          <w:sz w:val="19"/>
          <w:szCs w:val="19"/>
          <w:lang w:eastAsia="en-GB"/>
        </w:rPr>
        <w:t>Breach p</w:t>
      </w:r>
      <w:r w:rsidRPr="007F3E4B">
        <w:rPr>
          <w:rFonts w:ascii="Arial" w:eastAsia="Times New Roman" w:hAnsi="Arial" w:cs="Arial"/>
          <w:i/>
          <w:iCs/>
          <w:color w:val="FF0000"/>
          <w:sz w:val="19"/>
          <w:szCs w:val="19"/>
          <w:lang w:eastAsia="en-GB"/>
        </w:rPr>
        <w:t xml:space="preserve">ower </w:t>
      </w:r>
      <w:r>
        <w:rPr>
          <w:rFonts w:ascii="Arial" w:eastAsia="Times New Roman" w:hAnsi="Arial" w:cs="Arial"/>
          <w:i/>
          <w:iCs/>
          <w:color w:val="FF0000"/>
          <w:sz w:val="19"/>
          <w:szCs w:val="19"/>
          <w:lang w:eastAsia="en-GB"/>
        </w:rPr>
        <w:t xml:space="preserve">in respect of </w:t>
      </w:r>
      <w:r w:rsidRPr="007F3E4B">
        <w:rPr>
          <w:rFonts w:ascii="Arial" w:eastAsia="Times New Roman" w:hAnsi="Arial" w:cs="Arial"/>
          <w:i/>
          <w:iCs/>
          <w:color w:val="FF0000"/>
          <w:sz w:val="19"/>
          <w:szCs w:val="19"/>
          <w:lang w:eastAsia="en-GB"/>
        </w:rPr>
        <w:t xml:space="preserve">community order </w:t>
      </w:r>
      <w:r>
        <w:rPr>
          <w:rFonts w:ascii="Arial" w:eastAsia="Times New Roman" w:hAnsi="Arial" w:cs="Arial"/>
          <w:i/>
          <w:iCs/>
          <w:color w:val="FF0000"/>
          <w:sz w:val="19"/>
          <w:szCs w:val="19"/>
          <w:lang w:eastAsia="en-GB"/>
        </w:rPr>
        <w:t xml:space="preserve">imposed </w:t>
      </w:r>
      <w:r w:rsidRPr="007F3E4B">
        <w:rPr>
          <w:rFonts w:ascii="Arial" w:eastAsia="Times New Roman" w:hAnsi="Arial" w:cs="Arial"/>
          <w:i/>
          <w:iCs/>
          <w:color w:val="FF0000"/>
          <w:sz w:val="19"/>
          <w:szCs w:val="19"/>
          <w:lang w:eastAsia="en-GB"/>
        </w:rPr>
        <w:t xml:space="preserve">on persistent offender previously fined: introduced through an amendment by Schedule 22, </w:t>
      </w:r>
      <w:r w:rsidRPr="001444A1">
        <w:rPr>
          <w:rFonts w:ascii="Arial" w:eastAsia="Times New Roman" w:hAnsi="Arial" w:cs="Arial"/>
          <w:i/>
          <w:iCs/>
          <w:color w:val="FF0000"/>
          <w:sz w:val="19"/>
          <w:szCs w:val="19"/>
          <w:lang w:eastAsia="en-GB"/>
        </w:rPr>
        <w:t>22 Paragraph 21(2) of the Sentencing Act</w:t>
      </w:r>
      <w:r w:rsidRPr="007F3E4B">
        <w:rPr>
          <w:rFonts w:ascii="Arial" w:eastAsia="Times New Roman" w:hAnsi="Arial" w:cs="Arial"/>
          <w:i/>
          <w:iCs/>
          <w:color w:val="FF0000"/>
          <w:sz w:val="19"/>
          <w:szCs w:val="19"/>
          <w:lang w:eastAsia="en-GB"/>
        </w:rPr>
        <w:t>]</w:t>
      </w:r>
    </w:p>
    <w:p w14:paraId="4541A983" w14:textId="617BC4C4" w:rsidR="00515833" w:rsidRPr="00515833" w:rsidRDefault="00515833" w:rsidP="00515833">
      <w:pPr>
        <w:rPr>
          <w:b/>
          <w:bCs/>
          <w:i/>
          <w:iCs/>
        </w:rPr>
      </w:pPr>
      <w:r w:rsidRPr="00515833">
        <w:rPr>
          <w:b/>
          <w:bCs/>
        </w:rPr>
        <w:t>Paragraph 10</w:t>
      </w:r>
      <w:r w:rsidRPr="00515833">
        <w:rPr>
          <w:b/>
          <w:bCs/>
          <w:i/>
          <w:iCs/>
        </w:rPr>
        <w:t xml:space="preserve"> Powers of magistrates’ court</w:t>
      </w:r>
      <w:r w:rsidR="00813854">
        <w:rPr>
          <w:rStyle w:val="FootnoteReference"/>
          <w:b/>
          <w:bCs/>
          <w:i/>
          <w:iCs/>
        </w:rPr>
        <w:footnoteReference w:id="2"/>
      </w:r>
    </w:p>
    <w:p w14:paraId="1D292E32" w14:textId="4CC5F522" w:rsidR="00515833" w:rsidRPr="00515833" w:rsidRDefault="00515833" w:rsidP="00515833">
      <w:r w:rsidRPr="00515833">
        <w:t>(</w:t>
      </w:r>
      <w:proofErr w:type="gramStart"/>
      <w:r w:rsidRPr="00515833">
        <w:t>1)This</w:t>
      </w:r>
      <w:proofErr w:type="gramEnd"/>
      <w:r w:rsidRPr="00515833">
        <w:t xml:space="preserve"> paragraph applies where—</w:t>
      </w:r>
    </w:p>
    <w:p w14:paraId="4FDDEB9C" w14:textId="77777777" w:rsidR="00515833" w:rsidRPr="00515833" w:rsidRDefault="00515833" w:rsidP="00515833">
      <w:r w:rsidRPr="00515833">
        <w:t>(a)an offender appears or is brought before a magistrates’ court under paragraph </w:t>
      </w:r>
      <w:hyperlink r:id="rId11" w:anchor="schedule-10-paragraph-8" w:tooltip="Go to 8 Issue of summons or warrant by justice of the peace  in SCHEDULE 10, PART 2" w:history="1">
        <w:r w:rsidRPr="00515833">
          <w:rPr>
            <w:rStyle w:val="Hyperlink"/>
          </w:rPr>
          <w:t>8</w:t>
        </w:r>
      </w:hyperlink>
      <w:r w:rsidRPr="00515833">
        <w:t>, and</w:t>
      </w:r>
    </w:p>
    <w:p w14:paraId="0FA4A966" w14:textId="77777777" w:rsidR="00515833" w:rsidRPr="00515833" w:rsidRDefault="00515833" w:rsidP="00515833">
      <w:r w:rsidRPr="00515833">
        <w:t>(b)it is proved to the satisfaction of the court that the offender has breached a requirement of the community order without reasonable excuse.</w:t>
      </w:r>
    </w:p>
    <w:p w14:paraId="24897D6F" w14:textId="77777777" w:rsidR="00515833" w:rsidRDefault="00515833" w:rsidP="00515833">
      <w:r w:rsidRPr="00BE4FAE">
        <w:t>(2)The court must deal with the case under sub-paragraph </w:t>
      </w:r>
      <w:hyperlink r:id="rId12" w:anchor="schedule-10-paragraph-10-5" w:tooltip="Go to 10 Powers of magistrates’ court (5) in SCHEDULE 10, PART 2" w:history="1">
        <w:r w:rsidRPr="00BE4FAE">
          <w:rPr>
            <w:rStyle w:val="Hyperlink"/>
          </w:rPr>
          <w:t>(5)</w:t>
        </w:r>
      </w:hyperlink>
      <w:r w:rsidRPr="00BE4FAE">
        <w:t>.</w:t>
      </w:r>
      <w:r w:rsidRPr="00515833">
        <w:t xml:space="preserve"> </w:t>
      </w:r>
    </w:p>
    <w:p w14:paraId="4514DFFB" w14:textId="17866D4B" w:rsidR="00515833" w:rsidRDefault="00515833" w:rsidP="00515833">
      <w:r>
        <w:t>[…]</w:t>
      </w:r>
    </w:p>
    <w:p w14:paraId="14232796" w14:textId="5AE7C838" w:rsidR="00515833" w:rsidRPr="00515833" w:rsidRDefault="00515833" w:rsidP="00515833">
      <w:r w:rsidRPr="00515833">
        <w:t>(5)</w:t>
      </w:r>
      <w:r>
        <w:t xml:space="preserve"> </w:t>
      </w:r>
      <w:r w:rsidRPr="00515833">
        <w:t>Where the court deals with the case under this sub-paragraph, it must deal with the offender in respect of the breach in any one of the following ways—</w:t>
      </w:r>
    </w:p>
    <w:p w14:paraId="23B26F26" w14:textId="77777777" w:rsidR="00515833" w:rsidRPr="00515833" w:rsidRDefault="00515833" w:rsidP="00515833">
      <w:r w:rsidRPr="00515833">
        <w:t xml:space="preserve">(a)by ordering the offender to pay a fine not exceeding </w:t>
      </w:r>
      <w:proofErr w:type="gramStart"/>
      <w:r w:rsidRPr="00515833">
        <w:t>£2,500;</w:t>
      </w:r>
      <w:proofErr w:type="gramEnd"/>
    </w:p>
    <w:p w14:paraId="0F5ECD7D" w14:textId="77777777" w:rsidR="00515833" w:rsidRPr="00515833" w:rsidRDefault="00515833" w:rsidP="00515833">
      <w:r w:rsidRPr="00515833">
        <w:t>(b)by amending the terms of the community order so as to impose more onerous requirements which the court could include if it had just convicted the offender of the offence in respect of which the order was made and were then making the order;</w:t>
      </w:r>
    </w:p>
    <w:p w14:paraId="42FDEF3B" w14:textId="77777777" w:rsidR="00515833" w:rsidRPr="00515833" w:rsidRDefault="00515833" w:rsidP="00515833">
      <w:r w:rsidRPr="00515833">
        <w:t>(c)if the community order was made by a magistrates’ court, by re-sentencing the offender for the offence in respect of which the order was made.</w:t>
      </w:r>
    </w:p>
    <w:p w14:paraId="1D7FD7C2" w14:textId="77777777" w:rsidR="00E2681F" w:rsidRPr="009D1ECC" w:rsidRDefault="00E2681F" w:rsidP="00E2681F">
      <w:pPr>
        <w:shd w:val="clear" w:color="auto" w:fill="FFFFFF"/>
        <w:spacing w:after="120" w:line="360" w:lineRule="atLeast"/>
        <w:rPr>
          <w:rFonts w:ascii="Arial" w:eastAsia="Times New Roman" w:hAnsi="Arial" w:cs="Arial"/>
          <w:color w:val="000000"/>
          <w:sz w:val="19"/>
          <w:szCs w:val="19"/>
          <w:highlight w:val="yellow"/>
          <w:lang w:eastAsia="en-GB"/>
        </w:rPr>
      </w:pPr>
      <w:r w:rsidRPr="009D1ECC">
        <w:rPr>
          <w:rFonts w:ascii="Arial" w:eastAsia="Times New Roman" w:hAnsi="Arial" w:cs="Arial"/>
          <w:color w:val="000000"/>
          <w:sz w:val="19"/>
          <w:szCs w:val="19"/>
          <w:highlight w:val="yellow"/>
          <w:lang w:eastAsia="en-GB"/>
        </w:rPr>
        <w:lastRenderedPageBreak/>
        <w:t>“(d)where—</w:t>
      </w:r>
    </w:p>
    <w:p w14:paraId="4C84DC9B" w14:textId="77777777" w:rsidR="00E2681F" w:rsidRPr="009D1ECC" w:rsidRDefault="00E2681F" w:rsidP="00E2681F">
      <w:pPr>
        <w:shd w:val="clear" w:color="auto" w:fill="FFFFFF"/>
        <w:spacing w:after="120" w:line="360" w:lineRule="atLeast"/>
        <w:rPr>
          <w:rFonts w:ascii="Arial" w:eastAsia="Times New Roman" w:hAnsi="Arial" w:cs="Arial"/>
          <w:color w:val="000000"/>
          <w:sz w:val="19"/>
          <w:szCs w:val="19"/>
          <w:highlight w:val="yellow"/>
          <w:lang w:eastAsia="en-GB"/>
        </w:rPr>
      </w:pPr>
      <w:r w:rsidRPr="009D1ECC">
        <w:rPr>
          <w:rFonts w:ascii="Arial" w:eastAsia="Times New Roman" w:hAnsi="Arial" w:cs="Arial"/>
          <w:color w:val="000000"/>
          <w:sz w:val="19"/>
          <w:szCs w:val="19"/>
          <w:highlight w:val="yellow"/>
          <w:lang w:eastAsia="en-GB"/>
        </w:rPr>
        <w:t>(</w:t>
      </w:r>
      <w:proofErr w:type="spellStart"/>
      <w:r w:rsidRPr="009D1ECC">
        <w:rPr>
          <w:rFonts w:ascii="Arial" w:eastAsia="Times New Roman" w:hAnsi="Arial" w:cs="Arial"/>
          <w:color w:val="000000"/>
          <w:sz w:val="19"/>
          <w:szCs w:val="19"/>
          <w:highlight w:val="yellow"/>
          <w:lang w:eastAsia="en-GB"/>
        </w:rPr>
        <w:t>i</w:t>
      </w:r>
      <w:proofErr w:type="spellEnd"/>
      <w:r w:rsidRPr="009D1ECC">
        <w:rPr>
          <w:rFonts w:ascii="Arial" w:eastAsia="Times New Roman" w:hAnsi="Arial" w:cs="Arial"/>
          <w:color w:val="000000"/>
          <w:sz w:val="19"/>
          <w:szCs w:val="19"/>
          <w:highlight w:val="yellow"/>
          <w:lang w:eastAsia="en-GB"/>
        </w:rPr>
        <w:t>)the community order was made by a magistrates’ court,</w:t>
      </w:r>
    </w:p>
    <w:p w14:paraId="201009D1" w14:textId="77777777" w:rsidR="00E2681F" w:rsidRPr="009D1ECC" w:rsidRDefault="00E2681F" w:rsidP="00E2681F">
      <w:pPr>
        <w:shd w:val="clear" w:color="auto" w:fill="FFFFFF"/>
        <w:spacing w:after="120" w:line="360" w:lineRule="atLeast"/>
        <w:rPr>
          <w:rFonts w:ascii="Arial" w:eastAsia="Times New Roman" w:hAnsi="Arial" w:cs="Arial"/>
          <w:color w:val="000000"/>
          <w:sz w:val="19"/>
          <w:szCs w:val="19"/>
          <w:highlight w:val="yellow"/>
          <w:lang w:eastAsia="en-GB"/>
        </w:rPr>
      </w:pPr>
      <w:r w:rsidRPr="009D1ECC">
        <w:rPr>
          <w:rFonts w:ascii="Arial" w:eastAsia="Times New Roman" w:hAnsi="Arial" w:cs="Arial"/>
          <w:color w:val="000000"/>
          <w:sz w:val="19"/>
          <w:szCs w:val="19"/>
          <w:highlight w:val="yellow"/>
          <w:lang w:eastAsia="en-GB"/>
        </w:rPr>
        <w:t>(ii)the offence in respect of which the order was made was not an offence punishable by imprisonment,</w:t>
      </w:r>
    </w:p>
    <w:p w14:paraId="225552CC" w14:textId="77777777" w:rsidR="00E2681F" w:rsidRPr="009D1ECC" w:rsidRDefault="00E2681F" w:rsidP="00E2681F">
      <w:pPr>
        <w:shd w:val="clear" w:color="auto" w:fill="FFFFFF"/>
        <w:spacing w:after="120" w:line="360" w:lineRule="atLeast"/>
        <w:rPr>
          <w:rFonts w:ascii="Arial" w:eastAsia="Times New Roman" w:hAnsi="Arial" w:cs="Arial"/>
          <w:color w:val="000000"/>
          <w:sz w:val="19"/>
          <w:szCs w:val="19"/>
          <w:highlight w:val="yellow"/>
          <w:lang w:eastAsia="en-GB"/>
        </w:rPr>
      </w:pPr>
      <w:r w:rsidRPr="009D1ECC">
        <w:rPr>
          <w:rFonts w:ascii="Arial" w:eastAsia="Times New Roman" w:hAnsi="Arial" w:cs="Arial"/>
          <w:color w:val="000000"/>
          <w:sz w:val="19"/>
          <w:szCs w:val="19"/>
          <w:highlight w:val="yellow"/>
          <w:lang w:eastAsia="en-GB"/>
        </w:rPr>
        <w:t>(iii)the offender has wilfully and persistently failed to comply with the requirements of the order,</w:t>
      </w:r>
    </w:p>
    <w:p w14:paraId="22CF7477" w14:textId="6D92E089" w:rsidR="00515833" w:rsidRPr="00515833" w:rsidRDefault="00E2681F" w:rsidP="00E2681F">
      <w:r w:rsidRPr="009D1ECC">
        <w:rPr>
          <w:rFonts w:ascii="Arial" w:eastAsia="Times New Roman" w:hAnsi="Arial" w:cs="Arial"/>
          <w:color w:val="000000"/>
          <w:sz w:val="19"/>
          <w:szCs w:val="19"/>
          <w:highlight w:val="yellow"/>
          <w:lang w:eastAsia="en-GB"/>
        </w:rPr>
        <w:t>by dealing with the offender, in respect of that offence, by imposing a relevant custodial sentence for a term not exceeding 6 months.”</w:t>
      </w:r>
      <w:r>
        <w:t xml:space="preserve"> </w:t>
      </w:r>
      <w:r w:rsidR="00515833">
        <w:t>[</w:t>
      </w:r>
      <w:r w:rsidR="009D1ECC">
        <w:t>(</w:t>
      </w:r>
      <w:r w:rsidR="009D1ECC">
        <w:rPr>
          <w:highlight w:val="cyan"/>
        </w:rPr>
        <w:t>d) i</w:t>
      </w:r>
      <w:r w:rsidRPr="00DD28E9">
        <w:rPr>
          <w:highlight w:val="cyan"/>
        </w:rPr>
        <w:t xml:space="preserve">nserted by Schedule </w:t>
      </w:r>
      <w:bookmarkStart w:id="0" w:name="_Hlk56524559"/>
      <w:r w:rsidRPr="00DD28E9">
        <w:rPr>
          <w:highlight w:val="cyan"/>
        </w:rPr>
        <w:t>22</w:t>
      </w:r>
      <w:r w:rsidR="00DD28E9" w:rsidRPr="00DD28E9">
        <w:rPr>
          <w:highlight w:val="cyan"/>
        </w:rPr>
        <w:t xml:space="preserve"> Paragraph 21(2) of the Sentencing Act</w:t>
      </w:r>
      <w:bookmarkEnd w:id="0"/>
      <w:r w:rsidR="009D1ECC">
        <w:t>]</w:t>
      </w:r>
    </w:p>
    <w:p w14:paraId="0BB3BE65" w14:textId="7B99EB60" w:rsidR="00515833" w:rsidRPr="00515833" w:rsidRDefault="00515833" w:rsidP="00515833">
      <w:r w:rsidRPr="00515833">
        <w:t>(7)</w:t>
      </w:r>
      <w:r>
        <w:t xml:space="preserve"> </w:t>
      </w:r>
      <w:r w:rsidRPr="00515833">
        <w:t>In dealing with the offender under sub-paragraph </w:t>
      </w:r>
      <w:hyperlink r:id="rId13" w:anchor="schedule-10-paragraph-10-5" w:tooltip="Go to 10 Powers of magistrates’ court (5) in SCHEDULE 10, PART 2" w:history="1">
        <w:r w:rsidRPr="00515833">
          <w:rPr>
            <w:rStyle w:val="Hyperlink"/>
          </w:rPr>
          <w:t>(5)</w:t>
        </w:r>
      </w:hyperlink>
      <w:r w:rsidRPr="00515833">
        <w:t>, the court must take into account the extent to which the offender has complied with the requirements of the community order.</w:t>
      </w:r>
    </w:p>
    <w:p w14:paraId="099BCEE9" w14:textId="41AC8D6F" w:rsidR="00515833" w:rsidRPr="00515833" w:rsidRDefault="00515833" w:rsidP="00515833">
      <w:r>
        <w:t>[…]</w:t>
      </w:r>
    </w:p>
    <w:p w14:paraId="395D662F" w14:textId="13BAAD60" w:rsidR="00515833" w:rsidRPr="00515833" w:rsidRDefault="00515833" w:rsidP="00515833">
      <w:r w:rsidRPr="00515833">
        <w:t>(9)</w:t>
      </w:r>
      <w:r>
        <w:t xml:space="preserve"> </w:t>
      </w:r>
      <w:r w:rsidRPr="00515833">
        <w:t>Where—</w:t>
      </w:r>
    </w:p>
    <w:p w14:paraId="4F25F2FD" w14:textId="77777777" w:rsidR="00515833" w:rsidRPr="00515833" w:rsidRDefault="00515833" w:rsidP="00515833">
      <w:r w:rsidRPr="00515833">
        <w:t>(a)the offender has wilfully and persistently breached the requirements of the community order, and</w:t>
      </w:r>
    </w:p>
    <w:p w14:paraId="7DE7AC8C" w14:textId="77777777" w:rsidR="00515833" w:rsidRPr="00515833" w:rsidRDefault="00515833" w:rsidP="00515833">
      <w:r w:rsidRPr="00515833">
        <w:t>(b)the court is dealing with the offender under sub-paragraph </w:t>
      </w:r>
      <w:hyperlink r:id="rId14" w:anchor="schedule-10-paragraph-10-5-c" w:tooltip="Go to 10 Powers of magistrates’ court (5)(c) in SCHEDULE 10, PART 2" w:history="1">
        <w:r w:rsidRPr="00515833">
          <w:rPr>
            <w:rStyle w:val="Hyperlink"/>
          </w:rPr>
          <w:t>(5)(c)</w:t>
        </w:r>
      </w:hyperlink>
      <w:r w:rsidRPr="00515833">
        <w:t>,</w:t>
      </w:r>
    </w:p>
    <w:p w14:paraId="0B318F55" w14:textId="4350E9FB" w:rsidR="004A14CD" w:rsidRDefault="00515833" w:rsidP="00515833">
      <w:r w:rsidRPr="00BE4FAE">
        <w:t xml:space="preserve">the court may impose a custodial sentence </w:t>
      </w:r>
      <w:r w:rsidR="001444A1" w:rsidRPr="001444A1">
        <w:rPr>
          <w:rFonts w:ascii="Arial" w:eastAsia="Times New Roman" w:hAnsi="Arial" w:cs="Arial"/>
          <w:color w:val="000000"/>
          <w:sz w:val="19"/>
          <w:szCs w:val="19"/>
          <w:highlight w:val="yellow"/>
          <w:lang w:eastAsia="en-GB"/>
        </w:rPr>
        <w:t>“(where the order was made in respect of an offence punishable with such a sentence)”</w:t>
      </w:r>
      <w:r w:rsidR="001444A1">
        <w:rPr>
          <w:rFonts w:ascii="Arial" w:eastAsia="Times New Roman" w:hAnsi="Arial" w:cs="Arial"/>
          <w:color w:val="000000"/>
          <w:sz w:val="19"/>
          <w:szCs w:val="19"/>
          <w:lang w:eastAsia="en-GB"/>
        </w:rPr>
        <w:t xml:space="preserve"> </w:t>
      </w:r>
      <w:r w:rsidR="001444A1">
        <w:rPr>
          <w:highlight w:val="cyan"/>
        </w:rPr>
        <w:t xml:space="preserve">[inserted per </w:t>
      </w:r>
      <w:r w:rsidR="001444A1" w:rsidRPr="00DD28E9">
        <w:rPr>
          <w:highlight w:val="cyan"/>
        </w:rPr>
        <w:t>Schedule 22 Paragraph 21 of the Sentencing Act</w:t>
      </w:r>
      <w:r w:rsidR="001444A1">
        <w:t>]</w:t>
      </w:r>
      <w:r w:rsidR="001444A1" w:rsidRPr="00BE4FAE">
        <w:t xml:space="preserve"> </w:t>
      </w:r>
      <w:r w:rsidRPr="00BE4FAE">
        <w:t>even if it is not of the opinion mentioned in section 230</w:t>
      </w:r>
      <w:hyperlink r:id="rId15" w:tooltip="Go to " w:history="1">
        <w:r w:rsidRPr="00BE4FAE">
          <w:rPr>
            <w:rStyle w:val="Hyperlink"/>
          </w:rPr>
          <w:t>(2)</w:t>
        </w:r>
      </w:hyperlink>
      <w:r w:rsidRPr="00BE4FAE">
        <w:t> (general restriction on imposing discretionary custodial sentences).</w:t>
      </w:r>
    </w:p>
    <w:p w14:paraId="122D2158" w14:textId="77777777" w:rsidR="001444A1" w:rsidRDefault="001444A1" w:rsidP="00515833"/>
    <w:sectPr w:rsidR="001444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C7D19" w14:textId="77777777" w:rsidR="00CA4879" w:rsidRDefault="00CA4879" w:rsidP="001157D8">
      <w:pPr>
        <w:spacing w:after="0" w:line="240" w:lineRule="auto"/>
      </w:pPr>
      <w:r>
        <w:separator/>
      </w:r>
    </w:p>
  </w:endnote>
  <w:endnote w:type="continuationSeparator" w:id="0">
    <w:p w14:paraId="2DF3BAF7" w14:textId="77777777" w:rsidR="00CA4879" w:rsidRDefault="00CA4879" w:rsidP="0011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88546" w14:textId="77777777" w:rsidR="00CA4879" w:rsidRDefault="00CA4879" w:rsidP="001157D8">
      <w:pPr>
        <w:spacing w:after="0" w:line="240" w:lineRule="auto"/>
      </w:pPr>
      <w:r>
        <w:separator/>
      </w:r>
    </w:p>
  </w:footnote>
  <w:footnote w:type="continuationSeparator" w:id="0">
    <w:p w14:paraId="3F16CF42" w14:textId="77777777" w:rsidR="00CA4879" w:rsidRDefault="00CA4879" w:rsidP="001157D8">
      <w:pPr>
        <w:spacing w:after="0" w:line="240" w:lineRule="auto"/>
      </w:pPr>
      <w:r>
        <w:continuationSeparator/>
      </w:r>
    </w:p>
  </w:footnote>
  <w:footnote w:id="1">
    <w:p w14:paraId="3630E816" w14:textId="5EFFA49C" w:rsidR="001157D8" w:rsidRDefault="001157D8">
      <w:pPr>
        <w:pStyle w:val="FootnoteText"/>
      </w:pPr>
      <w:r>
        <w:rPr>
          <w:rStyle w:val="FootnoteReference"/>
        </w:rPr>
        <w:footnoteRef/>
      </w:r>
      <w:r>
        <w:t xml:space="preserve"> This provision </w:t>
      </w:r>
      <w:r w:rsidR="00813854">
        <w:t xml:space="preserve">will replace </w:t>
      </w:r>
      <w:r>
        <w:t>the relevant sub-sections of section 150A and 151 of the C</w:t>
      </w:r>
      <w:r w:rsidR="00813854">
        <w:t>riminal Justice Act 2003.</w:t>
      </w:r>
    </w:p>
  </w:footnote>
  <w:footnote w:id="2">
    <w:p w14:paraId="64388278" w14:textId="39B3F9F7" w:rsidR="00813854" w:rsidRDefault="00813854">
      <w:pPr>
        <w:pStyle w:val="FootnoteText"/>
      </w:pPr>
      <w:r>
        <w:rPr>
          <w:rStyle w:val="FootnoteReference"/>
        </w:rPr>
        <w:footnoteRef/>
      </w:r>
      <w:r>
        <w:t xml:space="preserve"> This provision will replace the relevant sub-sections of Paragraph 9 of Schedule 8 of the Criminal Justice Act 2003.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33"/>
    <w:rsid w:val="001157D8"/>
    <w:rsid w:val="001444A1"/>
    <w:rsid w:val="004A14CD"/>
    <w:rsid w:val="00515833"/>
    <w:rsid w:val="005B54E6"/>
    <w:rsid w:val="00680DBF"/>
    <w:rsid w:val="007F3E4B"/>
    <w:rsid w:val="0081252F"/>
    <w:rsid w:val="00813854"/>
    <w:rsid w:val="009D1ECC"/>
    <w:rsid w:val="00CA4879"/>
    <w:rsid w:val="00DD28E9"/>
    <w:rsid w:val="00E2681F"/>
    <w:rsid w:val="00F60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F063"/>
  <w15:chartTrackingRefBased/>
  <w15:docId w15:val="{3BE420D8-C5E3-49A7-B6FC-E249BFD6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833"/>
    <w:rPr>
      <w:color w:val="0563C1" w:themeColor="hyperlink"/>
      <w:u w:val="single"/>
    </w:rPr>
  </w:style>
  <w:style w:type="character" w:styleId="UnresolvedMention">
    <w:name w:val="Unresolved Mention"/>
    <w:basedOn w:val="DefaultParagraphFont"/>
    <w:uiPriority w:val="99"/>
    <w:semiHidden/>
    <w:unhideWhenUsed/>
    <w:rsid w:val="00515833"/>
    <w:rPr>
      <w:color w:val="605E5C"/>
      <w:shd w:val="clear" w:color="auto" w:fill="E1DFDD"/>
    </w:rPr>
  </w:style>
  <w:style w:type="paragraph" w:styleId="FootnoteText">
    <w:name w:val="footnote text"/>
    <w:basedOn w:val="Normal"/>
    <w:link w:val="FootnoteTextChar"/>
    <w:uiPriority w:val="99"/>
    <w:semiHidden/>
    <w:unhideWhenUsed/>
    <w:rsid w:val="001157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7D8"/>
    <w:rPr>
      <w:sz w:val="20"/>
      <w:szCs w:val="20"/>
    </w:rPr>
  </w:style>
  <w:style w:type="character" w:styleId="FootnoteReference">
    <w:name w:val="footnote reference"/>
    <w:basedOn w:val="DefaultParagraphFont"/>
    <w:uiPriority w:val="99"/>
    <w:semiHidden/>
    <w:unhideWhenUsed/>
    <w:rsid w:val="00115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20/17/schedule/22/enacted" TargetMode="External"/><Relationship Id="rId13" Type="http://schemas.openxmlformats.org/officeDocument/2006/relationships/hyperlink" Target="https://www.legislation.gov.uk/ukpga/2020/17/schedule/10/enacted" TargetMode="External"/><Relationship Id="rId3" Type="http://schemas.openxmlformats.org/officeDocument/2006/relationships/settings" Target="settings.xml"/><Relationship Id="rId7" Type="http://schemas.openxmlformats.org/officeDocument/2006/relationships/hyperlink" Target="https://www.legislation.gov.uk/ukpga/2020/17/schedule/22/enacted" TargetMode="External"/><Relationship Id="rId12" Type="http://schemas.openxmlformats.org/officeDocument/2006/relationships/hyperlink" Target="https://www.legislation.gov.uk/ukpga/2020/17/schedule/10/enact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egislation.gov.uk/ukpga/2020/17/schedule/10/enacted" TargetMode="External"/><Relationship Id="rId5" Type="http://schemas.openxmlformats.org/officeDocument/2006/relationships/footnotes" Target="footnotes.xml"/><Relationship Id="rId15" Type="http://schemas.openxmlformats.org/officeDocument/2006/relationships/hyperlink" Target="https://www.legislation.gov.uk/ukpga/2020/17/schedule/10/enacted" TargetMode="External"/><Relationship Id="rId10" Type="http://schemas.openxmlformats.org/officeDocument/2006/relationships/hyperlink" Target="https://www.legislation.gov.uk/ukpga/2020/17/schedule/22/enacted" TargetMode="External"/><Relationship Id="rId4" Type="http://schemas.openxmlformats.org/officeDocument/2006/relationships/webSettings" Target="webSettings.xml"/><Relationship Id="rId9" Type="http://schemas.openxmlformats.org/officeDocument/2006/relationships/hyperlink" Target="https://www.legislation.gov.uk/ukpga/2020/17/schedule/22/enacted" TargetMode="External"/><Relationship Id="rId14" Type="http://schemas.openxmlformats.org/officeDocument/2006/relationships/hyperlink" Target="https://www.legislation.gov.uk/ukpga/2020/17/schedule/10/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639C3-0389-41DB-81CD-1969E3D1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du Bois-Pedain</dc:creator>
  <cp:keywords/>
  <dc:description/>
  <cp:lastModifiedBy>Karen Eveleigh</cp:lastModifiedBy>
  <cp:revision>2</cp:revision>
  <dcterms:created xsi:type="dcterms:W3CDTF">2024-07-31T17:50:00Z</dcterms:created>
  <dcterms:modified xsi:type="dcterms:W3CDTF">2024-07-31T17:50:00Z</dcterms:modified>
</cp:coreProperties>
</file>